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312B" w14:textId="28C7AD14" w:rsidR="00AD015F" w:rsidRDefault="00AD015F" w:rsidP="008B68CA">
      <w:pPr>
        <w:ind w:left="4536"/>
        <w:contextualSpacing/>
        <w:mirrorIndents/>
        <w:jc w:val="both"/>
        <w:rPr>
          <w:rFonts w:ascii="Arial" w:hAnsi="Arial" w:cs="Arial"/>
          <w:b/>
          <w:sz w:val="24"/>
          <w:szCs w:val="24"/>
        </w:rPr>
      </w:pPr>
      <w:r w:rsidRPr="008B05F9">
        <w:rPr>
          <w:rFonts w:ascii="Arial" w:hAnsi="Arial" w:cs="Arial"/>
          <w:b/>
          <w:sz w:val="24"/>
          <w:szCs w:val="24"/>
        </w:rPr>
        <w:t>JUICIO PARA LA PROTECCIÓN DE LOS DERECHOS POLÍTICO-ELECTORALES DE</w:t>
      </w:r>
      <w:r w:rsidR="003E5042" w:rsidRPr="008B05F9">
        <w:rPr>
          <w:rFonts w:ascii="Arial" w:hAnsi="Arial" w:cs="Arial"/>
          <w:b/>
          <w:sz w:val="24"/>
          <w:szCs w:val="24"/>
        </w:rPr>
        <w:t xml:space="preserve"> </w:t>
      </w:r>
      <w:r w:rsidRPr="008B05F9">
        <w:rPr>
          <w:rFonts w:ascii="Arial" w:hAnsi="Arial" w:cs="Arial"/>
          <w:b/>
          <w:sz w:val="24"/>
          <w:szCs w:val="24"/>
        </w:rPr>
        <w:t>L</w:t>
      </w:r>
      <w:r w:rsidR="003E5042" w:rsidRPr="008B05F9">
        <w:rPr>
          <w:rFonts w:ascii="Arial" w:hAnsi="Arial" w:cs="Arial"/>
          <w:b/>
          <w:sz w:val="24"/>
          <w:szCs w:val="24"/>
        </w:rPr>
        <w:t>A</w:t>
      </w:r>
      <w:r w:rsidRPr="008B05F9">
        <w:rPr>
          <w:rFonts w:ascii="Arial" w:hAnsi="Arial" w:cs="Arial"/>
          <w:b/>
          <w:sz w:val="24"/>
          <w:szCs w:val="24"/>
        </w:rPr>
        <w:t xml:space="preserve"> CIUDADAN</w:t>
      </w:r>
      <w:r w:rsidR="003E5042" w:rsidRPr="008B05F9">
        <w:rPr>
          <w:rFonts w:ascii="Arial" w:hAnsi="Arial" w:cs="Arial"/>
          <w:b/>
          <w:sz w:val="24"/>
          <w:szCs w:val="24"/>
        </w:rPr>
        <w:t>ÍA.</w:t>
      </w:r>
    </w:p>
    <w:p w14:paraId="0F47A452" w14:textId="77777777" w:rsidR="00C91F5B" w:rsidRPr="00C91F5B" w:rsidRDefault="00C91F5B" w:rsidP="008B68CA">
      <w:pPr>
        <w:ind w:left="4536"/>
        <w:contextualSpacing/>
        <w:mirrorIndents/>
        <w:jc w:val="both"/>
        <w:rPr>
          <w:rFonts w:ascii="Arial" w:hAnsi="Arial" w:cs="Arial"/>
          <w:b/>
          <w:sz w:val="14"/>
          <w:szCs w:val="14"/>
        </w:rPr>
      </w:pPr>
    </w:p>
    <w:p w14:paraId="5753A0D8" w14:textId="4A779F47" w:rsidR="008C0055" w:rsidRDefault="0030607A" w:rsidP="008C0055">
      <w:pPr>
        <w:ind w:left="4536"/>
        <w:contextualSpacing/>
        <w:mirrorIndents/>
        <w:jc w:val="both"/>
        <w:rPr>
          <w:rFonts w:ascii="Arial" w:hAnsi="Arial" w:cs="Arial"/>
          <w:sz w:val="24"/>
          <w:szCs w:val="24"/>
        </w:rPr>
      </w:pPr>
      <w:r w:rsidRPr="008B05F9">
        <w:rPr>
          <w:rFonts w:ascii="Arial" w:hAnsi="Arial" w:cs="Arial"/>
          <w:b/>
          <w:sz w:val="24"/>
          <w:szCs w:val="24"/>
        </w:rPr>
        <w:t xml:space="preserve">EXPEDIENTE: </w:t>
      </w:r>
      <w:r w:rsidR="00A571B6" w:rsidRPr="008B05F9">
        <w:rPr>
          <w:rFonts w:ascii="Arial" w:hAnsi="Arial" w:cs="Arial"/>
          <w:sz w:val="24"/>
          <w:szCs w:val="24"/>
        </w:rPr>
        <w:t>TEEA-JDC-11</w:t>
      </w:r>
      <w:r w:rsidR="008B05F9" w:rsidRPr="008B05F9">
        <w:rPr>
          <w:rFonts w:ascii="Arial" w:hAnsi="Arial" w:cs="Arial"/>
          <w:sz w:val="24"/>
          <w:szCs w:val="24"/>
        </w:rPr>
        <w:t>8</w:t>
      </w:r>
      <w:r w:rsidR="00A571B6" w:rsidRPr="008B05F9">
        <w:rPr>
          <w:rFonts w:ascii="Arial" w:hAnsi="Arial" w:cs="Arial"/>
          <w:sz w:val="24"/>
          <w:szCs w:val="24"/>
        </w:rPr>
        <w:t>/2021</w:t>
      </w:r>
      <w:r w:rsidR="0085575C" w:rsidRPr="008B05F9">
        <w:rPr>
          <w:rFonts w:ascii="Arial" w:hAnsi="Arial" w:cs="Arial"/>
          <w:sz w:val="24"/>
          <w:szCs w:val="24"/>
        </w:rPr>
        <w:t>.</w:t>
      </w:r>
    </w:p>
    <w:p w14:paraId="6A263730" w14:textId="77777777" w:rsidR="00C91F5B" w:rsidRPr="00C91F5B" w:rsidRDefault="00C91F5B" w:rsidP="008C0055">
      <w:pPr>
        <w:ind w:left="4536"/>
        <w:contextualSpacing/>
        <w:mirrorIndents/>
        <w:jc w:val="both"/>
        <w:rPr>
          <w:rFonts w:ascii="Arial" w:hAnsi="Arial" w:cs="Arial"/>
          <w:b/>
          <w:sz w:val="14"/>
          <w:szCs w:val="14"/>
        </w:rPr>
      </w:pPr>
    </w:p>
    <w:p w14:paraId="720E44DA" w14:textId="572028D1" w:rsidR="0030607A" w:rsidRDefault="0030607A" w:rsidP="008B68CA">
      <w:pPr>
        <w:ind w:left="4536"/>
        <w:contextualSpacing/>
        <w:mirrorIndents/>
        <w:jc w:val="both"/>
        <w:rPr>
          <w:rFonts w:ascii="Arial" w:hAnsi="Arial" w:cs="Arial"/>
          <w:sz w:val="24"/>
          <w:szCs w:val="24"/>
        </w:rPr>
      </w:pPr>
      <w:r w:rsidRPr="008B05F9">
        <w:rPr>
          <w:rFonts w:ascii="Arial" w:hAnsi="Arial" w:cs="Arial"/>
          <w:b/>
          <w:sz w:val="24"/>
          <w:szCs w:val="24"/>
        </w:rPr>
        <w:t>ACTOR</w:t>
      </w:r>
      <w:r w:rsidR="00AD015F" w:rsidRPr="008B05F9">
        <w:rPr>
          <w:rFonts w:ascii="Arial" w:hAnsi="Arial" w:cs="Arial"/>
          <w:b/>
          <w:sz w:val="24"/>
          <w:szCs w:val="24"/>
        </w:rPr>
        <w:t>:</w:t>
      </w:r>
      <w:r w:rsidR="00A571B6" w:rsidRPr="008B05F9">
        <w:rPr>
          <w:rFonts w:ascii="Arial" w:hAnsi="Arial" w:cs="Arial"/>
          <w:sz w:val="24"/>
          <w:szCs w:val="24"/>
        </w:rPr>
        <w:t xml:space="preserve"> JESÚS ANTONIO </w:t>
      </w:r>
      <w:r w:rsidR="008C0055" w:rsidRPr="008B05F9">
        <w:rPr>
          <w:rFonts w:ascii="Arial" w:hAnsi="Arial" w:cs="Arial"/>
          <w:sz w:val="24"/>
          <w:szCs w:val="24"/>
        </w:rPr>
        <w:t>MAYA LÓPEZ.</w:t>
      </w:r>
    </w:p>
    <w:p w14:paraId="07CAC7D9" w14:textId="77777777" w:rsidR="00C91F5B" w:rsidRPr="00C91F5B" w:rsidRDefault="00C91F5B" w:rsidP="008B68CA">
      <w:pPr>
        <w:ind w:left="4536"/>
        <w:contextualSpacing/>
        <w:mirrorIndents/>
        <w:jc w:val="both"/>
        <w:rPr>
          <w:rFonts w:ascii="Arial" w:hAnsi="Arial" w:cs="Arial"/>
          <w:b/>
          <w:sz w:val="14"/>
          <w:szCs w:val="14"/>
        </w:rPr>
      </w:pPr>
    </w:p>
    <w:p w14:paraId="12ADA71E" w14:textId="09619538" w:rsidR="0030607A" w:rsidRDefault="0030607A" w:rsidP="008B68CA">
      <w:pPr>
        <w:ind w:left="4536"/>
        <w:contextualSpacing/>
        <w:mirrorIndents/>
        <w:jc w:val="both"/>
        <w:rPr>
          <w:rFonts w:ascii="Arial" w:hAnsi="Arial" w:cs="Arial"/>
          <w:sz w:val="24"/>
          <w:szCs w:val="24"/>
        </w:rPr>
      </w:pPr>
      <w:r w:rsidRPr="008B05F9">
        <w:rPr>
          <w:rFonts w:ascii="Arial" w:hAnsi="Arial" w:cs="Arial"/>
          <w:b/>
          <w:sz w:val="24"/>
          <w:szCs w:val="24"/>
        </w:rPr>
        <w:t xml:space="preserve">AUTORIDAD RESPONSABLE: </w:t>
      </w:r>
      <w:r w:rsidR="00A9659C" w:rsidRPr="008B05F9">
        <w:rPr>
          <w:rFonts w:ascii="Arial" w:hAnsi="Arial" w:cs="Arial"/>
          <w:sz w:val="24"/>
          <w:szCs w:val="24"/>
        </w:rPr>
        <w:t xml:space="preserve">COMISIÓN </w:t>
      </w:r>
      <w:r w:rsidR="008C0055" w:rsidRPr="008B05F9">
        <w:rPr>
          <w:rFonts w:ascii="Arial" w:hAnsi="Arial" w:cs="Arial"/>
          <w:sz w:val="24"/>
          <w:szCs w:val="24"/>
        </w:rPr>
        <w:t>NACIONAL DE HON</w:t>
      </w:r>
      <w:r w:rsidR="00C7240C">
        <w:rPr>
          <w:rFonts w:ascii="Arial" w:hAnsi="Arial" w:cs="Arial"/>
          <w:sz w:val="24"/>
          <w:szCs w:val="24"/>
        </w:rPr>
        <w:t>OR</w:t>
      </w:r>
      <w:r w:rsidR="008C0055" w:rsidRPr="008B05F9">
        <w:rPr>
          <w:rFonts w:ascii="Arial" w:hAnsi="Arial" w:cs="Arial"/>
          <w:sz w:val="24"/>
          <w:szCs w:val="24"/>
        </w:rPr>
        <w:t xml:space="preserve"> Y JUSTICIA DEL PARTIDO ENCUENTRO SOLIDARIO.</w:t>
      </w:r>
    </w:p>
    <w:p w14:paraId="7FA64075" w14:textId="77777777" w:rsidR="00C91F5B" w:rsidRPr="00C91F5B" w:rsidRDefault="00C91F5B" w:rsidP="008B68CA">
      <w:pPr>
        <w:ind w:left="4536"/>
        <w:contextualSpacing/>
        <w:mirrorIndents/>
        <w:jc w:val="both"/>
        <w:rPr>
          <w:rFonts w:ascii="Arial" w:hAnsi="Arial" w:cs="Arial"/>
          <w:b/>
          <w:sz w:val="14"/>
          <w:szCs w:val="14"/>
        </w:rPr>
      </w:pPr>
    </w:p>
    <w:p w14:paraId="74DCA3E2" w14:textId="2803D4C5" w:rsidR="0030607A" w:rsidRDefault="0030607A" w:rsidP="008B68CA">
      <w:pPr>
        <w:ind w:left="4536"/>
        <w:contextualSpacing/>
        <w:mirrorIndents/>
        <w:jc w:val="both"/>
        <w:rPr>
          <w:rFonts w:ascii="Arial" w:eastAsia="Arial" w:hAnsi="Arial" w:cs="Arial"/>
          <w:bCs/>
          <w:sz w:val="24"/>
          <w:szCs w:val="24"/>
        </w:rPr>
      </w:pPr>
      <w:r w:rsidRPr="008B05F9">
        <w:rPr>
          <w:rFonts w:ascii="Arial" w:hAnsi="Arial" w:cs="Arial"/>
          <w:b/>
          <w:sz w:val="24"/>
          <w:szCs w:val="24"/>
        </w:rPr>
        <w:t xml:space="preserve">MAGISTRADA PONENTE: </w:t>
      </w:r>
      <w:r w:rsidRPr="008B05F9">
        <w:rPr>
          <w:rFonts w:ascii="Arial" w:eastAsia="Arial" w:hAnsi="Arial" w:cs="Arial"/>
          <w:bCs/>
          <w:sz w:val="24"/>
          <w:szCs w:val="24"/>
        </w:rPr>
        <w:t>LAURA HORTENSIA LLAMAS HERNÁNDEZ.</w:t>
      </w:r>
    </w:p>
    <w:p w14:paraId="3606649B" w14:textId="77777777" w:rsidR="00C91F5B" w:rsidRPr="00C91F5B" w:rsidRDefault="00C91F5B" w:rsidP="008B68CA">
      <w:pPr>
        <w:ind w:left="4536"/>
        <w:contextualSpacing/>
        <w:mirrorIndents/>
        <w:jc w:val="both"/>
        <w:rPr>
          <w:rFonts w:ascii="Arial" w:hAnsi="Arial" w:cs="Arial"/>
          <w:b/>
          <w:sz w:val="14"/>
          <w:szCs w:val="14"/>
        </w:rPr>
      </w:pPr>
    </w:p>
    <w:p w14:paraId="5335B3C6" w14:textId="1CB6E61F" w:rsidR="00054D63" w:rsidRDefault="0030607A" w:rsidP="00C91F5B">
      <w:pPr>
        <w:ind w:left="4536"/>
        <w:contextualSpacing/>
        <w:mirrorIndents/>
        <w:jc w:val="both"/>
        <w:rPr>
          <w:rFonts w:ascii="Arial" w:hAnsi="Arial" w:cs="Arial"/>
          <w:sz w:val="24"/>
          <w:szCs w:val="24"/>
        </w:rPr>
      </w:pPr>
      <w:r w:rsidRPr="008B05F9">
        <w:rPr>
          <w:rFonts w:ascii="Arial" w:hAnsi="Arial" w:cs="Arial"/>
          <w:b/>
          <w:sz w:val="24"/>
          <w:szCs w:val="24"/>
        </w:rPr>
        <w:t>SECRETARIO DE ESTUDIO</w:t>
      </w:r>
      <w:r w:rsidRPr="008B05F9">
        <w:rPr>
          <w:rStyle w:val="Refdenotaalpie"/>
          <w:rFonts w:ascii="Arial" w:hAnsi="Arial" w:cs="Arial"/>
          <w:b/>
          <w:sz w:val="24"/>
          <w:szCs w:val="24"/>
        </w:rPr>
        <w:footnoteReference w:id="1"/>
      </w:r>
      <w:r w:rsidRPr="008B05F9">
        <w:rPr>
          <w:rFonts w:ascii="Arial" w:hAnsi="Arial" w:cs="Arial"/>
          <w:b/>
          <w:sz w:val="24"/>
          <w:szCs w:val="24"/>
        </w:rPr>
        <w:t xml:space="preserve">: </w:t>
      </w:r>
      <w:r w:rsidRPr="008B05F9">
        <w:rPr>
          <w:rFonts w:ascii="Arial" w:hAnsi="Arial" w:cs="Arial"/>
          <w:sz w:val="24"/>
          <w:szCs w:val="24"/>
        </w:rPr>
        <w:t>EDGAR ALEJANDRO LÓPEZ DÁVILA.</w:t>
      </w:r>
    </w:p>
    <w:p w14:paraId="2FA6F56D" w14:textId="332218FC" w:rsidR="00C91F5B" w:rsidRPr="00C91F5B" w:rsidRDefault="00C91F5B" w:rsidP="00C91F5B">
      <w:pPr>
        <w:ind w:left="4536"/>
        <w:contextualSpacing/>
        <w:mirrorIndents/>
        <w:jc w:val="both"/>
        <w:rPr>
          <w:rFonts w:ascii="Arial" w:hAnsi="Arial" w:cs="Arial"/>
          <w:sz w:val="14"/>
          <w:szCs w:val="14"/>
        </w:rPr>
      </w:pPr>
    </w:p>
    <w:p w14:paraId="3E2552D7" w14:textId="08D24CEA" w:rsidR="00C91F5B" w:rsidRPr="00C91F5B" w:rsidRDefault="00C91F5B" w:rsidP="00C91F5B">
      <w:pPr>
        <w:ind w:left="4536"/>
        <w:contextualSpacing/>
        <w:mirrorIndents/>
        <w:jc w:val="both"/>
        <w:rPr>
          <w:rFonts w:ascii="Arial" w:hAnsi="Arial" w:cs="Arial"/>
          <w:sz w:val="24"/>
          <w:szCs w:val="24"/>
        </w:rPr>
      </w:pPr>
      <w:r>
        <w:rPr>
          <w:rFonts w:ascii="Arial" w:hAnsi="Arial" w:cs="Arial"/>
          <w:b/>
          <w:bCs/>
          <w:sz w:val="24"/>
          <w:szCs w:val="24"/>
        </w:rPr>
        <w:t xml:space="preserve">COLABORÓ: </w:t>
      </w:r>
      <w:r w:rsidRPr="00C91F5B">
        <w:rPr>
          <w:rFonts w:ascii="Arial" w:hAnsi="Arial" w:cs="Arial"/>
          <w:sz w:val="24"/>
          <w:szCs w:val="24"/>
        </w:rPr>
        <w:t xml:space="preserve">IGNACIO ALEJANDRO SOTO MARTÍNEZ. </w:t>
      </w:r>
    </w:p>
    <w:p w14:paraId="06DD6642" w14:textId="77777777" w:rsidR="00C91F5B" w:rsidRPr="00C91F5B" w:rsidRDefault="00C91F5B" w:rsidP="00C91F5B">
      <w:pPr>
        <w:pStyle w:val="Estilo"/>
      </w:pPr>
    </w:p>
    <w:p w14:paraId="4E3E85CD" w14:textId="71AC3B6D" w:rsidR="00054D63" w:rsidRPr="008B05F9" w:rsidRDefault="00054D63" w:rsidP="005C7ACD">
      <w:pPr>
        <w:spacing w:line="360" w:lineRule="auto"/>
        <w:jc w:val="right"/>
        <w:rPr>
          <w:rFonts w:ascii="Arial" w:hAnsi="Arial" w:cs="Arial"/>
          <w:sz w:val="24"/>
          <w:szCs w:val="24"/>
        </w:rPr>
      </w:pPr>
      <w:r w:rsidRPr="008B05F9">
        <w:rPr>
          <w:rFonts w:ascii="Arial" w:hAnsi="Arial" w:cs="Arial"/>
          <w:sz w:val="24"/>
          <w:szCs w:val="24"/>
        </w:rPr>
        <w:t>Aguascalientes, Aguascalientes, a</w:t>
      </w:r>
      <w:r w:rsidR="00427FB9" w:rsidRPr="008B05F9">
        <w:rPr>
          <w:rFonts w:ascii="Arial" w:hAnsi="Arial" w:cs="Arial"/>
          <w:sz w:val="24"/>
          <w:szCs w:val="24"/>
        </w:rPr>
        <w:t xml:space="preserve"> </w:t>
      </w:r>
      <w:r w:rsidR="004D6F2D">
        <w:rPr>
          <w:rFonts w:ascii="Arial" w:hAnsi="Arial" w:cs="Arial"/>
          <w:sz w:val="24"/>
          <w:szCs w:val="24"/>
        </w:rPr>
        <w:t>13</w:t>
      </w:r>
      <w:r w:rsidR="0085575C" w:rsidRPr="008B05F9">
        <w:rPr>
          <w:rFonts w:ascii="Arial" w:hAnsi="Arial" w:cs="Arial"/>
          <w:sz w:val="24"/>
          <w:szCs w:val="24"/>
        </w:rPr>
        <w:t xml:space="preserve"> </w:t>
      </w:r>
      <w:r w:rsidR="0030607A" w:rsidRPr="008B05F9">
        <w:rPr>
          <w:rFonts w:ascii="Arial" w:hAnsi="Arial" w:cs="Arial"/>
          <w:sz w:val="24"/>
          <w:szCs w:val="24"/>
        </w:rPr>
        <w:t xml:space="preserve">de </w:t>
      </w:r>
      <w:r w:rsidR="008B05F9">
        <w:rPr>
          <w:rFonts w:ascii="Arial" w:hAnsi="Arial" w:cs="Arial"/>
          <w:sz w:val="24"/>
          <w:szCs w:val="24"/>
        </w:rPr>
        <w:t>mayo</w:t>
      </w:r>
      <w:r w:rsidRPr="008B05F9">
        <w:rPr>
          <w:rFonts w:ascii="Arial" w:hAnsi="Arial" w:cs="Arial"/>
          <w:sz w:val="24"/>
          <w:szCs w:val="24"/>
        </w:rPr>
        <w:t xml:space="preserve"> de </w:t>
      </w:r>
      <w:r w:rsidR="00675FAF" w:rsidRPr="008B05F9">
        <w:rPr>
          <w:rFonts w:ascii="Arial" w:hAnsi="Arial" w:cs="Arial"/>
          <w:sz w:val="24"/>
          <w:szCs w:val="24"/>
        </w:rPr>
        <w:t>2021</w:t>
      </w:r>
      <w:r w:rsidRPr="008B05F9">
        <w:rPr>
          <w:rFonts w:ascii="Arial" w:hAnsi="Arial" w:cs="Arial"/>
          <w:sz w:val="24"/>
          <w:szCs w:val="24"/>
        </w:rPr>
        <w:t>.</w:t>
      </w:r>
    </w:p>
    <w:p w14:paraId="4F9FDF44" w14:textId="77777777" w:rsidR="00054D63" w:rsidRPr="008B05F9" w:rsidRDefault="00054D63" w:rsidP="005C7ACD">
      <w:pPr>
        <w:pStyle w:val="Sinespaciado"/>
        <w:rPr>
          <w:sz w:val="24"/>
          <w:szCs w:val="24"/>
        </w:rPr>
      </w:pPr>
    </w:p>
    <w:p w14:paraId="3C6A8A61" w14:textId="22791E7B" w:rsidR="007D056C" w:rsidRPr="008B05F9" w:rsidRDefault="00054D63" w:rsidP="0085575C">
      <w:pPr>
        <w:spacing w:line="360" w:lineRule="auto"/>
        <w:jc w:val="both"/>
        <w:rPr>
          <w:rFonts w:ascii="Arial" w:hAnsi="Arial" w:cs="Arial"/>
          <w:sz w:val="24"/>
          <w:szCs w:val="24"/>
          <w:lang w:eastAsia="es-MX"/>
        </w:rPr>
      </w:pPr>
      <w:r w:rsidRPr="008B05F9">
        <w:rPr>
          <w:rFonts w:ascii="Arial" w:hAnsi="Arial" w:cs="Arial"/>
          <w:b/>
          <w:sz w:val="24"/>
          <w:szCs w:val="24"/>
        </w:rPr>
        <w:t>Sentencia</w:t>
      </w:r>
      <w:r w:rsidRPr="008B05F9">
        <w:rPr>
          <w:rFonts w:ascii="Arial" w:hAnsi="Arial" w:cs="Arial"/>
          <w:sz w:val="24"/>
          <w:szCs w:val="24"/>
        </w:rPr>
        <w:t xml:space="preserve"> </w:t>
      </w:r>
      <w:r w:rsidR="00C91F5B">
        <w:rPr>
          <w:rFonts w:ascii="Arial" w:hAnsi="Arial" w:cs="Arial"/>
          <w:sz w:val="24"/>
          <w:szCs w:val="24"/>
        </w:rPr>
        <w:t xml:space="preserve">del Tribunal Electoral </w:t>
      </w:r>
      <w:r w:rsidRPr="008B05F9">
        <w:rPr>
          <w:rFonts w:ascii="Arial" w:hAnsi="Arial" w:cs="Arial"/>
          <w:sz w:val="24"/>
          <w:szCs w:val="24"/>
        </w:rPr>
        <w:t>que</w:t>
      </w:r>
      <w:r w:rsidR="009A646A" w:rsidRPr="008B05F9">
        <w:rPr>
          <w:rFonts w:ascii="Arial" w:hAnsi="Arial" w:cs="Arial"/>
          <w:sz w:val="24"/>
          <w:szCs w:val="24"/>
        </w:rPr>
        <w:t xml:space="preserve"> </w:t>
      </w:r>
      <w:r w:rsidR="00A571B6" w:rsidRPr="008B05F9">
        <w:rPr>
          <w:rFonts w:ascii="Arial" w:hAnsi="Arial" w:cs="Arial"/>
          <w:b/>
          <w:sz w:val="24"/>
          <w:szCs w:val="24"/>
        </w:rPr>
        <w:t>desecha</w:t>
      </w:r>
      <w:r w:rsidR="00C7240C">
        <w:rPr>
          <w:rFonts w:ascii="Arial" w:hAnsi="Arial" w:cs="Arial"/>
          <w:b/>
          <w:sz w:val="24"/>
          <w:szCs w:val="24"/>
        </w:rPr>
        <w:t xml:space="preserve"> de plano</w:t>
      </w:r>
      <w:r w:rsidR="00A571B6" w:rsidRPr="008B05F9">
        <w:rPr>
          <w:rFonts w:ascii="Arial" w:hAnsi="Arial" w:cs="Arial"/>
          <w:sz w:val="24"/>
          <w:szCs w:val="24"/>
        </w:rPr>
        <w:t xml:space="preserve"> la demanda del juicio ciudadano presentad</w:t>
      </w:r>
      <w:r w:rsidR="008B05F9" w:rsidRPr="008B05F9">
        <w:rPr>
          <w:rFonts w:ascii="Arial" w:hAnsi="Arial" w:cs="Arial"/>
          <w:sz w:val="24"/>
          <w:szCs w:val="24"/>
        </w:rPr>
        <w:t>o</w:t>
      </w:r>
      <w:r w:rsidR="00A571B6" w:rsidRPr="008B05F9">
        <w:rPr>
          <w:rFonts w:ascii="Arial" w:hAnsi="Arial" w:cs="Arial"/>
          <w:sz w:val="24"/>
          <w:szCs w:val="24"/>
        </w:rPr>
        <w:t xml:space="preserve"> por Jesús Antonio Maya López</w:t>
      </w:r>
      <w:r w:rsidR="00C7240C">
        <w:rPr>
          <w:rFonts w:ascii="Arial" w:hAnsi="Arial" w:cs="Arial"/>
          <w:sz w:val="24"/>
          <w:szCs w:val="24"/>
        </w:rPr>
        <w:t>,</w:t>
      </w:r>
      <w:r w:rsidR="00A571B6" w:rsidRPr="008B05F9">
        <w:rPr>
          <w:rFonts w:ascii="Arial" w:hAnsi="Arial" w:cs="Arial"/>
          <w:sz w:val="24"/>
          <w:szCs w:val="24"/>
        </w:rPr>
        <w:t xml:space="preserve"> </w:t>
      </w:r>
      <w:r w:rsidR="008B05F9" w:rsidRPr="008B05F9">
        <w:rPr>
          <w:rFonts w:ascii="Arial" w:hAnsi="Arial" w:cs="Arial"/>
          <w:sz w:val="24"/>
          <w:szCs w:val="24"/>
        </w:rPr>
        <w:t xml:space="preserve">en </w:t>
      </w:r>
      <w:r w:rsidR="00A571B6" w:rsidRPr="008B05F9">
        <w:rPr>
          <w:rFonts w:ascii="Arial" w:hAnsi="Arial" w:cs="Arial"/>
          <w:sz w:val="24"/>
          <w:szCs w:val="24"/>
        </w:rPr>
        <w:t>contra</w:t>
      </w:r>
      <w:r w:rsidR="008B05F9" w:rsidRPr="008B05F9">
        <w:rPr>
          <w:rFonts w:ascii="Arial" w:hAnsi="Arial" w:cs="Arial"/>
          <w:sz w:val="24"/>
          <w:szCs w:val="24"/>
        </w:rPr>
        <w:t xml:space="preserve"> de la </w:t>
      </w:r>
      <w:r w:rsidR="008B05F9" w:rsidRPr="00C37E80">
        <w:rPr>
          <w:rFonts w:ascii="Arial" w:hAnsi="Arial" w:cs="Arial"/>
          <w:sz w:val="24"/>
          <w:szCs w:val="24"/>
        </w:rPr>
        <w:t>resolución</w:t>
      </w:r>
      <w:r w:rsidR="00A13079">
        <w:rPr>
          <w:rFonts w:ascii="Arial" w:hAnsi="Arial" w:cs="Arial"/>
          <w:sz w:val="24"/>
          <w:szCs w:val="24"/>
        </w:rPr>
        <w:t xml:space="preserve"> </w:t>
      </w:r>
      <w:r w:rsidR="008B05F9" w:rsidRPr="008B05F9">
        <w:rPr>
          <w:rFonts w:ascii="Arial" w:hAnsi="Arial" w:cs="Arial"/>
          <w:sz w:val="24"/>
          <w:szCs w:val="24"/>
        </w:rPr>
        <w:t xml:space="preserve">de </w:t>
      </w:r>
      <w:r w:rsidR="00A571B6" w:rsidRPr="008B05F9">
        <w:rPr>
          <w:rFonts w:ascii="Arial" w:hAnsi="Arial" w:cs="Arial"/>
          <w:sz w:val="24"/>
          <w:szCs w:val="24"/>
        </w:rPr>
        <w:t>la Comisión Nacional de Honor y Justicia del Partido Encuentro Solidario</w:t>
      </w:r>
      <w:r w:rsidR="00F11899">
        <w:rPr>
          <w:rFonts w:ascii="Arial" w:hAnsi="Arial" w:cs="Arial"/>
          <w:sz w:val="24"/>
          <w:szCs w:val="24"/>
        </w:rPr>
        <w:t>,</w:t>
      </w:r>
      <w:r w:rsidR="008B05F9" w:rsidRPr="008B05F9">
        <w:rPr>
          <w:rFonts w:ascii="Arial" w:hAnsi="Arial" w:cs="Arial"/>
          <w:sz w:val="24"/>
          <w:szCs w:val="24"/>
        </w:rPr>
        <w:t xml:space="preserve"> que resolvió el medio de impugnación </w:t>
      </w:r>
      <w:r w:rsidR="00C91F5B">
        <w:rPr>
          <w:rFonts w:ascii="Arial" w:hAnsi="Arial" w:cs="Arial"/>
          <w:sz w:val="24"/>
          <w:szCs w:val="24"/>
        </w:rPr>
        <w:t xml:space="preserve">promovido </w:t>
      </w:r>
      <w:r w:rsidR="008B05F9" w:rsidRPr="008B05F9">
        <w:rPr>
          <w:rFonts w:ascii="Arial" w:hAnsi="Arial" w:cs="Arial"/>
          <w:sz w:val="24"/>
          <w:szCs w:val="24"/>
        </w:rPr>
        <w:t xml:space="preserve">por el </w:t>
      </w:r>
      <w:r w:rsidR="00C91F5B">
        <w:rPr>
          <w:rFonts w:ascii="Arial" w:hAnsi="Arial" w:cs="Arial"/>
          <w:sz w:val="24"/>
          <w:szCs w:val="24"/>
        </w:rPr>
        <w:t>actor</w:t>
      </w:r>
      <w:r w:rsidR="008B05F9">
        <w:rPr>
          <w:rFonts w:ascii="Arial" w:hAnsi="Arial" w:cs="Arial"/>
          <w:sz w:val="24"/>
          <w:szCs w:val="24"/>
        </w:rPr>
        <w:t>, en cumplimiento a lo ordenado en el juicio ciudadano TEEA-JDC-043/2021</w:t>
      </w:r>
      <w:r w:rsidR="008B05F9" w:rsidRPr="008B05F9">
        <w:rPr>
          <w:rFonts w:ascii="Arial" w:hAnsi="Arial" w:cs="Arial"/>
          <w:sz w:val="24"/>
          <w:szCs w:val="24"/>
        </w:rPr>
        <w:t>; p</w:t>
      </w:r>
      <w:r w:rsidR="00A571B6" w:rsidRPr="008B05F9">
        <w:rPr>
          <w:rFonts w:ascii="Arial" w:hAnsi="Arial" w:cs="Arial"/>
          <w:sz w:val="24"/>
          <w:szCs w:val="24"/>
        </w:rPr>
        <w:t>orque</w:t>
      </w:r>
      <w:r w:rsidR="008B05F9" w:rsidRPr="008B05F9">
        <w:rPr>
          <w:rFonts w:ascii="Arial" w:hAnsi="Arial" w:cs="Arial"/>
          <w:sz w:val="24"/>
          <w:szCs w:val="24"/>
        </w:rPr>
        <w:t xml:space="preserve"> </w:t>
      </w:r>
      <w:r w:rsidR="008B05F9" w:rsidRPr="00C91F5B">
        <w:rPr>
          <w:rFonts w:ascii="Arial" w:hAnsi="Arial" w:cs="Arial"/>
          <w:b/>
          <w:bCs/>
          <w:sz w:val="24"/>
          <w:szCs w:val="24"/>
        </w:rPr>
        <w:t>este Tribunal consid</w:t>
      </w:r>
      <w:r w:rsidR="00FA162C" w:rsidRPr="00C91F5B">
        <w:rPr>
          <w:rFonts w:ascii="Arial" w:hAnsi="Arial" w:cs="Arial"/>
          <w:b/>
          <w:bCs/>
          <w:sz w:val="24"/>
          <w:szCs w:val="24"/>
        </w:rPr>
        <w:t>era</w:t>
      </w:r>
      <w:r w:rsidR="00FA162C">
        <w:rPr>
          <w:rFonts w:ascii="Arial" w:hAnsi="Arial" w:cs="Arial"/>
          <w:sz w:val="24"/>
          <w:szCs w:val="24"/>
        </w:rPr>
        <w:t xml:space="preserve"> que </w:t>
      </w:r>
      <w:r w:rsidR="00FA162C" w:rsidRPr="00C91F5B">
        <w:rPr>
          <w:rFonts w:ascii="Arial" w:hAnsi="Arial" w:cs="Arial"/>
          <w:sz w:val="24"/>
          <w:szCs w:val="24"/>
        </w:rPr>
        <w:t>su</w:t>
      </w:r>
      <w:r w:rsidR="00FA162C" w:rsidRPr="00C91F5B">
        <w:rPr>
          <w:rFonts w:ascii="Arial" w:hAnsi="Arial" w:cs="Arial"/>
          <w:b/>
          <w:bCs/>
          <w:sz w:val="24"/>
          <w:szCs w:val="24"/>
        </w:rPr>
        <w:t xml:space="preserve"> presentación fue extemporánea</w:t>
      </w:r>
      <w:r w:rsidR="00A571B6" w:rsidRPr="00C91F5B">
        <w:rPr>
          <w:rFonts w:ascii="Arial" w:hAnsi="Arial" w:cs="Arial"/>
          <w:b/>
          <w:bCs/>
          <w:sz w:val="24"/>
          <w:szCs w:val="24"/>
        </w:rPr>
        <w:t>.</w:t>
      </w:r>
    </w:p>
    <w:p w14:paraId="6D8501F3" w14:textId="0ABAD748" w:rsidR="008B68CA" w:rsidRPr="00C7240C" w:rsidRDefault="008B68CA" w:rsidP="00C7240C">
      <w:pPr>
        <w:pStyle w:val="Sinespaciado"/>
        <w:rPr>
          <w:sz w:val="12"/>
          <w:szCs w:val="12"/>
        </w:rPr>
      </w:pP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ascii="Times New Roman" w:eastAsia="Times New Roman" w:hAnsi="Times New Roman" w:cs="Times New Roman"/>
        </w:rPr>
      </w:sdtEndPr>
      <w:sdtContent>
        <w:p w14:paraId="2264A516" w14:textId="136209DC" w:rsidR="00054D63" w:rsidRPr="00C91F5B" w:rsidRDefault="002E2443" w:rsidP="008B68CA">
          <w:pPr>
            <w:pStyle w:val="TtuloTDC"/>
            <w:spacing w:before="0" w:line="240" w:lineRule="auto"/>
            <w:ind w:left="1134" w:right="899"/>
            <w:contextualSpacing/>
            <w:jc w:val="center"/>
            <w:rPr>
              <w:rFonts w:ascii="Arial" w:hAnsi="Arial" w:cs="Arial"/>
              <w:b/>
              <w:color w:val="000000" w:themeColor="text1"/>
              <w:sz w:val="16"/>
              <w:szCs w:val="16"/>
              <w:lang w:val="es-ES"/>
            </w:rPr>
          </w:pPr>
          <w:r w:rsidRPr="00C91F5B">
            <w:rPr>
              <w:rFonts w:ascii="Arial" w:hAnsi="Arial" w:cs="Arial"/>
              <w:b/>
              <w:color w:val="000000" w:themeColor="text1"/>
              <w:sz w:val="16"/>
              <w:szCs w:val="16"/>
              <w:lang w:val="es-ES"/>
            </w:rPr>
            <w:t>Índice</w:t>
          </w:r>
        </w:p>
        <w:p w14:paraId="4AD1CC85" w14:textId="54BED428" w:rsidR="00E166D6" w:rsidRPr="00E166D6" w:rsidRDefault="00054D63" w:rsidP="00E166D6">
          <w:pPr>
            <w:pStyle w:val="TDC1"/>
            <w:ind w:left="567"/>
            <w:rPr>
              <w:rFonts w:eastAsiaTheme="minorEastAsia"/>
              <w:b w:val="0"/>
              <w:sz w:val="16"/>
              <w:szCs w:val="16"/>
              <w:lang w:eastAsia="es-MX"/>
            </w:rPr>
          </w:pPr>
          <w:r w:rsidRPr="00E166D6">
            <w:rPr>
              <w:b w:val="0"/>
              <w:sz w:val="16"/>
              <w:szCs w:val="16"/>
            </w:rPr>
            <w:fldChar w:fldCharType="begin"/>
          </w:r>
          <w:r w:rsidRPr="00E166D6">
            <w:rPr>
              <w:b w:val="0"/>
              <w:sz w:val="16"/>
              <w:szCs w:val="16"/>
            </w:rPr>
            <w:instrText xml:space="preserve"> TOC \o "1-4" \h \z \u </w:instrText>
          </w:r>
          <w:r w:rsidRPr="00E166D6">
            <w:rPr>
              <w:b w:val="0"/>
              <w:sz w:val="16"/>
              <w:szCs w:val="16"/>
            </w:rPr>
            <w:fldChar w:fldCharType="separate"/>
          </w:r>
          <w:hyperlink w:anchor="_Toc71637778" w:history="1">
            <w:r w:rsidR="00E166D6" w:rsidRPr="00E166D6">
              <w:rPr>
                <w:rStyle w:val="Hipervnculo"/>
                <w:b w:val="0"/>
                <w:sz w:val="16"/>
                <w:szCs w:val="16"/>
              </w:rPr>
              <w:t>Glosario</w:t>
            </w:r>
            <w:r w:rsidR="00E166D6" w:rsidRPr="00E166D6">
              <w:rPr>
                <w:b w:val="0"/>
                <w:webHidden/>
                <w:sz w:val="16"/>
                <w:szCs w:val="16"/>
              </w:rPr>
              <w:tab/>
            </w:r>
            <w:r w:rsidR="00E166D6" w:rsidRPr="00E166D6">
              <w:rPr>
                <w:b w:val="0"/>
                <w:webHidden/>
                <w:sz w:val="16"/>
                <w:szCs w:val="16"/>
              </w:rPr>
              <w:fldChar w:fldCharType="begin"/>
            </w:r>
            <w:r w:rsidR="00E166D6" w:rsidRPr="00E166D6">
              <w:rPr>
                <w:b w:val="0"/>
                <w:webHidden/>
                <w:sz w:val="16"/>
                <w:szCs w:val="16"/>
              </w:rPr>
              <w:instrText xml:space="preserve"> PAGEREF _Toc71637778 \h </w:instrText>
            </w:r>
            <w:r w:rsidR="00E166D6" w:rsidRPr="00E166D6">
              <w:rPr>
                <w:b w:val="0"/>
                <w:webHidden/>
                <w:sz w:val="16"/>
                <w:szCs w:val="16"/>
              </w:rPr>
            </w:r>
            <w:r w:rsidR="00E166D6" w:rsidRPr="00E166D6">
              <w:rPr>
                <w:b w:val="0"/>
                <w:webHidden/>
                <w:sz w:val="16"/>
                <w:szCs w:val="16"/>
              </w:rPr>
              <w:fldChar w:fldCharType="separate"/>
            </w:r>
            <w:r w:rsidR="001033A4">
              <w:rPr>
                <w:b w:val="0"/>
                <w:webHidden/>
                <w:sz w:val="16"/>
                <w:szCs w:val="16"/>
              </w:rPr>
              <w:t>1</w:t>
            </w:r>
            <w:r w:rsidR="00E166D6" w:rsidRPr="00E166D6">
              <w:rPr>
                <w:b w:val="0"/>
                <w:webHidden/>
                <w:sz w:val="16"/>
                <w:szCs w:val="16"/>
              </w:rPr>
              <w:fldChar w:fldCharType="end"/>
            </w:r>
          </w:hyperlink>
        </w:p>
        <w:p w14:paraId="6D9FE74D" w14:textId="7F854B4F" w:rsidR="00E166D6" w:rsidRPr="00E166D6" w:rsidRDefault="00E51C2D" w:rsidP="00E166D6">
          <w:pPr>
            <w:pStyle w:val="TDC1"/>
            <w:ind w:left="567"/>
            <w:rPr>
              <w:rFonts w:eastAsiaTheme="minorEastAsia"/>
              <w:b w:val="0"/>
              <w:sz w:val="16"/>
              <w:szCs w:val="16"/>
              <w:lang w:eastAsia="es-MX"/>
            </w:rPr>
          </w:pPr>
          <w:hyperlink w:anchor="_Toc71637779" w:history="1">
            <w:r w:rsidR="00E166D6" w:rsidRPr="00E166D6">
              <w:rPr>
                <w:rStyle w:val="Hipervnculo"/>
                <w:b w:val="0"/>
                <w:sz w:val="16"/>
                <w:szCs w:val="16"/>
              </w:rPr>
              <w:t>I.Antecedentes del caso</w:t>
            </w:r>
            <w:r w:rsidR="00E166D6" w:rsidRPr="00E166D6">
              <w:rPr>
                <w:b w:val="0"/>
                <w:webHidden/>
                <w:sz w:val="16"/>
                <w:szCs w:val="16"/>
              </w:rPr>
              <w:tab/>
            </w:r>
            <w:r w:rsidR="00E166D6" w:rsidRPr="00E166D6">
              <w:rPr>
                <w:b w:val="0"/>
                <w:webHidden/>
                <w:sz w:val="16"/>
                <w:szCs w:val="16"/>
              </w:rPr>
              <w:fldChar w:fldCharType="begin"/>
            </w:r>
            <w:r w:rsidR="00E166D6" w:rsidRPr="00E166D6">
              <w:rPr>
                <w:b w:val="0"/>
                <w:webHidden/>
                <w:sz w:val="16"/>
                <w:szCs w:val="16"/>
              </w:rPr>
              <w:instrText xml:space="preserve"> PAGEREF _Toc71637779 \h </w:instrText>
            </w:r>
            <w:r w:rsidR="00E166D6" w:rsidRPr="00E166D6">
              <w:rPr>
                <w:b w:val="0"/>
                <w:webHidden/>
                <w:sz w:val="16"/>
                <w:szCs w:val="16"/>
              </w:rPr>
            </w:r>
            <w:r w:rsidR="00E166D6" w:rsidRPr="00E166D6">
              <w:rPr>
                <w:b w:val="0"/>
                <w:webHidden/>
                <w:sz w:val="16"/>
                <w:szCs w:val="16"/>
              </w:rPr>
              <w:fldChar w:fldCharType="separate"/>
            </w:r>
            <w:r w:rsidR="001033A4">
              <w:rPr>
                <w:b w:val="0"/>
                <w:webHidden/>
                <w:sz w:val="16"/>
                <w:szCs w:val="16"/>
              </w:rPr>
              <w:t>1</w:t>
            </w:r>
            <w:r w:rsidR="00E166D6" w:rsidRPr="00E166D6">
              <w:rPr>
                <w:b w:val="0"/>
                <w:webHidden/>
                <w:sz w:val="16"/>
                <w:szCs w:val="16"/>
              </w:rPr>
              <w:fldChar w:fldCharType="end"/>
            </w:r>
          </w:hyperlink>
        </w:p>
        <w:p w14:paraId="2A795EC6" w14:textId="1E0067B0" w:rsidR="00E166D6" w:rsidRPr="00E166D6" w:rsidRDefault="00E51C2D" w:rsidP="00E166D6">
          <w:pPr>
            <w:pStyle w:val="TDC1"/>
            <w:ind w:left="567"/>
            <w:rPr>
              <w:rFonts w:eastAsiaTheme="minorEastAsia"/>
              <w:b w:val="0"/>
              <w:sz w:val="16"/>
              <w:szCs w:val="16"/>
              <w:lang w:eastAsia="es-MX"/>
            </w:rPr>
          </w:pPr>
          <w:hyperlink w:anchor="_Toc71637780" w:history="1">
            <w:r w:rsidR="00E166D6" w:rsidRPr="00E166D6">
              <w:rPr>
                <w:rStyle w:val="Hipervnculo"/>
                <w:rFonts w:eastAsia="BatangChe"/>
                <w:b w:val="0"/>
                <w:sz w:val="16"/>
                <w:szCs w:val="16"/>
              </w:rPr>
              <w:t>II.</w:t>
            </w:r>
            <w:r w:rsidR="00E166D6" w:rsidRPr="00E166D6">
              <w:rPr>
                <w:rStyle w:val="Hipervnculo"/>
                <w:b w:val="0"/>
                <w:sz w:val="16"/>
                <w:szCs w:val="16"/>
              </w:rPr>
              <w:t>Competencia</w:t>
            </w:r>
            <w:r w:rsidR="00E166D6" w:rsidRPr="00E166D6">
              <w:rPr>
                <w:b w:val="0"/>
                <w:webHidden/>
                <w:sz w:val="16"/>
                <w:szCs w:val="16"/>
              </w:rPr>
              <w:tab/>
            </w:r>
            <w:r w:rsidR="00E166D6" w:rsidRPr="00E166D6">
              <w:rPr>
                <w:b w:val="0"/>
                <w:webHidden/>
                <w:sz w:val="16"/>
                <w:szCs w:val="16"/>
              </w:rPr>
              <w:fldChar w:fldCharType="begin"/>
            </w:r>
            <w:r w:rsidR="00E166D6" w:rsidRPr="00E166D6">
              <w:rPr>
                <w:b w:val="0"/>
                <w:webHidden/>
                <w:sz w:val="16"/>
                <w:szCs w:val="16"/>
              </w:rPr>
              <w:instrText xml:space="preserve"> PAGEREF _Toc71637780 \h </w:instrText>
            </w:r>
            <w:r w:rsidR="00E166D6" w:rsidRPr="00E166D6">
              <w:rPr>
                <w:b w:val="0"/>
                <w:webHidden/>
                <w:sz w:val="16"/>
                <w:szCs w:val="16"/>
              </w:rPr>
            </w:r>
            <w:r w:rsidR="00E166D6" w:rsidRPr="00E166D6">
              <w:rPr>
                <w:b w:val="0"/>
                <w:webHidden/>
                <w:sz w:val="16"/>
                <w:szCs w:val="16"/>
              </w:rPr>
              <w:fldChar w:fldCharType="separate"/>
            </w:r>
            <w:r w:rsidR="001033A4">
              <w:rPr>
                <w:b w:val="0"/>
                <w:webHidden/>
                <w:sz w:val="16"/>
                <w:szCs w:val="16"/>
              </w:rPr>
              <w:t>2</w:t>
            </w:r>
            <w:r w:rsidR="00E166D6" w:rsidRPr="00E166D6">
              <w:rPr>
                <w:b w:val="0"/>
                <w:webHidden/>
                <w:sz w:val="16"/>
                <w:szCs w:val="16"/>
              </w:rPr>
              <w:fldChar w:fldCharType="end"/>
            </w:r>
          </w:hyperlink>
        </w:p>
        <w:p w14:paraId="0D3597B1" w14:textId="7A28C6E8" w:rsidR="00E166D6" w:rsidRPr="00E166D6" w:rsidRDefault="00E51C2D" w:rsidP="00E166D6">
          <w:pPr>
            <w:pStyle w:val="TDC1"/>
            <w:ind w:left="567"/>
            <w:rPr>
              <w:rFonts w:eastAsiaTheme="minorEastAsia"/>
              <w:b w:val="0"/>
              <w:sz w:val="16"/>
              <w:szCs w:val="16"/>
              <w:lang w:eastAsia="es-MX"/>
            </w:rPr>
          </w:pPr>
          <w:hyperlink w:anchor="_Toc71637781" w:history="1">
            <w:r w:rsidR="00E166D6" w:rsidRPr="00E166D6">
              <w:rPr>
                <w:rStyle w:val="Hipervnculo"/>
                <w:b w:val="0"/>
                <w:sz w:val="16"/>
                <w:szCs w:val="16"/>
              </w:rPr>
              <w:t>Apartado I. Decisión</w:t>
            </w:r>
            <w:r w:rsidR="00E166D6" w:rsidRPr="00E166D6">
              <w:rPr>
                <w:b w:val="0"/>
                <w:webHidden/>
                <w:sz w:val="16"/>
                <w:szCs w:val="16"/>
              </w:rPr>
              <w:tab/>
            </w:r>
            <w:r w:rsidR="00E166D6" w:rsidRPr="00E166D6">
              <w:rPr>
                <w:b w:val="0"/>
                <w:webHidden/>
                <w:sz w:val="16"/>
                <w:szCs w:val="16"/>
              </w:rPr>
              <w:fldChar w:fldCharType="begin"/>
            </w:r>
            <w:r w:rsidR="00E166D6" w:rsidRPr="00E166D6">
              <w:rPr>
                <w:b w:val="0"/>
                <w:webHidden/>
                <w:sz w:val="16"/>
                <w:szCs w:val="16"/>
              </w:rPr>
              <w:instrText xml:space="preserve"> PAGEREF _Toc71637781 \h </w:instrText>
            </w:r>
            <w:r w:rsidR="00E166D6" w:rsidRPr="00E166D6">
              <w:rPr>
                <w:b w:val="0"/>
                <w:webHidden/>
                <w:sz w:val="16"/>
                <w:szCs w:val="16"/>
              </w:rPr>
            </w:r>
            <w:r w:rsidR="00E166D6" w:rsidRPr="00E166D6">
              <w:rPr>
                <w:b w:val="0"/>
                <w:webHidden/>
                <w:sz w:val="16"/>
                <w:szCs w:val="16"/>
              </w:rPr>
              <w:fldChar w:fldCharType="separate"/>
            </w:r>
            <w:r w:rsidR="001033A4">
              <w:rPr>
                <w:b w:val="0"/>
                <w:webHidden/>
                <w:sz w:val="16"/>
                <w:szCs w:val="16"/>
              </w:rPr>
              <w:t>3</w:t>
            </w:r>
            <w:r w:rsidR="00E166D6" w:rsidRPr="00E166D6">
              <w:rPr>
                <w:b w:val="0"/>
                <w:webHidden/>
                <w:sz w:val="16"/>
                <w:szCs w:val="16"/>
              </w:rPr>
              <w:fldChar w:fldCharType="end"/>
            </w:r>
          </w:hyperlink>
        </w:p>
        <w:p w14:paraId="5C0918E5" w14:textId="50A93208" w:rsidR="00E166D6" w:rsidRPr="00E166D6" w:rsidRDefault="00E51C2D" w:rsidP="00E166D6">
          <w:pPr>
            <w:pStyle w:val="TDC1"/>
            <w:ind w:left="567"/>
            <w:rPr>
              <w:rFonts w:eastAsiaTheme="minorEastAsia"/>
              <w:b w:val="0"/>
              <w:sz w:val="16"/>
              <w:szCs w:val="16"/>
              <w:lang w:eastAsia="es-MX"/>
            </w:rPr>
          </w:pPr>
          <w:hyperlink w:anchor="_Toc71637782" w:history="1">
            <w:r w:rsidR="00E166D6" w:rsidRPr="00E166D6">
              <w:rPr>
                <w:rStyle w:val="Hipervnculo"/>
                <w:b w:val="0"/>
                <w:sz w:val="16"/>
                <w:szCs w:val="16"/>
              </w:rPr>
              <w:t xml:space="preserve">Apartado II. </w:t>
            </w:r>
            <w:r w:rsidR="00E166D6" w:rsidRPr="00E166D6">
              <w:rPr>
                <w:rStyle w:val="Hipervnculo"/>
                <w:b w:val="0"/>
                <w:sz w:val="16"/>
                <w:szCs w:val="16"/>
                <w:lang w:eastAsia="es-MX"/>
              </w:rPr>
              <w:t>Desarrollo y justificación de la decisión</w:t>
            </w:r>
            <w:r w:rsidR="00E166D6" w:rsidRPr="00E166D6">
              <w:rPr>
                <w:b w:val="0"/>
                <w:webHidden/>
                <w:sz w:val="16"/>
                <w:szCs w:val="16"/>
              </w:rPr>
              <w:tab/>
            </w:r>
            <w:r w:rsidR="00E166D6" w:rsidRPr="00E166D6">
              <w:rPr>
                <w:b w:val="0"/>
                <w:webHidden/>
                <w:sz w:val="16"/>
                <w:szCs w:val="16"/>
              </w:rPr>
              <w:fldChar w:fldCharType="begin"/>
            </w:r>
            <w:r w:rsidR="00E166D6" w:rsidRPr="00E166D6">
              <w:rPr>
                <w:b w:val="0"/>
                <w:webHidden/>
                <w:sz w:val="16"/>
                <w:szCs w:val="16"/>
              </w:rPr>
              <w:instrText xml:space="preserve"> PAGEREF _Toc71637782 \h </w:instrText>
            </w:r>
            <w:r w:rsidR="00E166D6" w:rsidRPr="00E166D6">
              <w:rPr>
                <w:b w:val="0"/>
                <w:webHidden/>
                <w:sz w:val="16"/>
                <w:szCs w:val="16"/>
              </w:rPr>
            </w:r>
            <w:r w:rsidR="00E166D6" w:rsidRPr="00E166D6">
              <w:rPr>
                <w:b w:val="0"/>
                <w:webHidden/>
                <w:sz w:val="16"/>
                <w:szCs w:val="16"/>
              </w:rPr>
              <w:fldChar w:fldCharType="separate"/>
            </w:r>
            <w:r w:rsidR="001033A4">
              <w:rPr>
                <w:b w:val="0"/>
                <w:webHidden/>
                <w:sz w:val="16"/>
                <w:szCs w:val="16"/>
              </w:rPr>
              <w:t>3</w:t>
            </w:r>
            <w:r w:rsidR="00E166D6" w:rsidRPr="00E166D6">
              <w:rPr>
                <w:b w:val="0"/>
                <w:webHidden/>
                <w:sz w:val="16"/>
                <w:szCs w:val="16"/>
              </w:rPr>
              <w:fldChar w:fldCharType="end"/>
            </w:r>
          </w:hyperlink>
        </w:p>
        <w:p w14:paraId="640D00DA" w14:textId="13A299FB" w:rsidR="00E166D6" w:rsidRPr="00E166D6" w:rsidRDefault="00E51C2D" w:rsidP="00E166D6">
          <w:pPr>
            <w:pStyle w:val="TDC2"/>
            <w:rPr>
              <w:rFonts w:eastAsiaTheme="minorEastAsia"/>
              <w:lang w:val="es-MX" w:eastAsia="es-MX"/>
            </w:rPr>
          </w:pPr>
          <w:hyperlink w:anchor="_Toc71637783" w:history="1">
            <w:r w:rsidR="00E166D6" w:rsidRPr="00E166D6">
              <w:rPr>
                <w:rStyle w:val="Hipervnculo"/>
                <w:b w:val="0"/>
                <w:sz w:val="16"/>
                <w:szCs w:val="16"/>
              </w:rPr>
              <w:t>Resuelve:</w:t>
            </w:r>
            <w:r w:rsidR="00E166D6" w:rsidRPr="00E166D6">
              <w:rPr>
                <w:b w:val="0"/>
                <w:bCs w:val="0"/>
                <w:webHidden/>
              </w:rPr>
              <w:tab/>
            </w:r>
            <w:r w:rsidR="00E166D6" w:rsidRPr="00E166D6">
              <w:rPr>
                <w:b w:val="0"/>
                <w:bCs w:val="0"/>
                <w:webHidden/>
              </w:rPr>
              <w:fldChar w:fldCharType="begin"/>
            </w:r>
            <w:r w:rsidR="00E166D6" w:rsidRPr="00E166D6">
              <w:rPr>
                <w:b w:val="0"/>
                <w:bCs w:val="0"/>
                <w:webHidden/>
              </w:rPr>
              <w:instrText xml:space="preserve"> PAGEREF _Toc71637783 \h </w:instrText>
            </w:r>
            <w:r w:rsidR="00E166D6" w:rsidRPr="00E166D6">
              <w:rPr>
                <w:b w:val="0"/>
                <w:bCs w:val="0"/>
                <w:webHidden/>
              </w:rPr>
            </w:r>
            <w:r w:rsidR="00E166D6" w:rsidRPr="00E166D6">
              <w:rPr>
                <w:b w:val="0"/>
                <w:bCs w:val="0"/>
                <w:webHidden/>
              </w:rPr>
              <w:fldChar w:fldCharType="separate"/>
            </w:r>
            <w:r w:rsidR="001033A4">
              <w:rPr>
                <w:b w:val="0"/>
                <w:bCs w:val="0"/>
                <w:webHidden/>
              </w:rPr>
              <w:t>5</w:t>
            </w:r>
            <w:r w:rsidR="00E166D6" w:rsidRPr="00E166D6">
              <w:rPr>
                <w:b w:val="0"/>
                <w:bCs w:val="0"/>
                <w:webHidden/>
              </w:rPr>
              <w:fldChar w:fldCharType="end"/>
            </w:r>
          </w:hyperlink>
        </w:p>
        <w:p w14:paraId="650B0E71" w14:textId="61E6881B" w:rsidR="00054D63" w:rsidRPr="00E166D6" w:rsidRDefault="00054D63" w:rsidP="00E166D6">
          <w:pPr>
            <w:pStyle w:val="Sinespaciado"/>
            <w:ind w:left="567"/>
            <w:rPr>
              <w:sz w:val="16"/>
              <w:szCs w:val="16"/>
            </w:rPr>
          </w:pPr>
          <w:r w:rsidRPr="00E166D6">
            <w:rPr>
              <w:rFonts w:ascii="Arial" w:hAnsi="Arial" w:cs="Arial"/>
              <w:bCs/>
              <w:noProof/>
              <w:sz w:val="16"/>
              <w:szCs w:val="16"/>
              <w:lang w:eastAsia="es-ES"/>
            </w:rPr>
            <w:fldChar w:fldCharType="end"/>
          </w:r>
        </w:p>
      </w:sdtContent>
    </w:sdt>
    <w:bookmarkStart w:id="0" w:name="_Toc19640897" w:displacedByCustomXml="prev"/>
    <w:p w14:paraId="56D087A8" w14:textId="63F9C5DC" w:rsidR="00054D63" w:rsidRPr="008B68CA" w:rsidRDefault="00B949D8" w:rsidP="005C7ACD">
      <w:pPr>
        <w:pStyle w:val="Ttulo1"/>
        <w:spacing w:before="0" w:beforeAutospacing="0" w:after="0" w:afterAutospacing="0"/>
        <w:jc w:val="center"/>
        <w:rPr>
          <w:rFonts w:eastAsia="Times New Roman" w:cs="Arial"/>
          <w:sz w:val="16"/>
          <w:szCs w:val="16"/>
          <w:lang w:eastAsia="es-ES"/>
        </w:rPr>
      </w:pPr>
      <w:bookmarkStart w:id="1" w:name="_Toc71637778"/>
      <w:r w:rsidRPr="008B68CA">
        <w:rPr>
          <w:rFonts w:eastAsia="Times New Roman" w:cs="Arial"/>
          <w:caps w:val="0"/>
          <w:sz w:val="16"/>
          <w:szCs w:val="16"/>
          <w:lang w:eastAsia="es-ES"/>
        </w:rPr>
        <w:t>Glosario</w:t>
      </w:r>
      <w:bookmarkEnd w:id="0"/>
      <w:bookmarkEnd w:id="1"/>
    </w:p>
    <w:tbl>
      <w:tblPr>
        <w:tblStyle w:val="Tablaconcuadrcula"/>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1"/>
      </w:tblGrid>
      <w:tr w:rsidR="00054D63" w:rsidRPr="008B68CA" w14:paraId="0F284A08" w14:textId="77777777" w:rsidTr="004D6F2D">
        <w:trPr>
          <w:trHeight w:val="247"/>
        </w:trPr>
        <w:tc>
          <w:tcPr>
            <w:tcW w:w="2694" w:type="dxa"/>
          </w:tcPr>
          <w:p w14:paraId="18F11638" w14:textId="419D42FE" w:rsidR="00054D63" w:rsidRPr="008B68CA" w:rsidRDefault="0030607A" w:rsidP="006D421A">
            <w:pPr>
              <w:ind w:left="738" w:right="-23"/>
              <w:rPr>
                <w:rFonts w:ascii="Arial" w:hAnsi="Arial" w:cs="Arial"/>
                <w:b/>
                <w:sz w:val="16"/>
                <w:szCs w:val="16"/>
              </w:rPr>
            </w:pPr>
            <w:r w:rsidRPr="008B68CA">
              <w:rPr>
                <w:rFonts w:ascii="Arial" w:hAnsi="Arial" w:cs="Arial"/>
                <w:b/>
                <w:sz w:val="16"/>
                <w:szCs w:val="16"/>
              </w:rPr>
              <w:t>Actor</w:t>
            </w:r>
            <w:r w:rsidR="008C0055">
              <w:rPr>
                <w:rFonts w:ascii="Arial" w:hAnsi="Arial" w:cs="Arial"/>
                <w:b/>
                <w:sz w:val="16"/>
                <w:szCs w:val="16"/>
              </w:rPr>
              <w:t>:</w:t>
            </w:r>
          </w:p>
          <w:p w14:paraId="73EE222E" w14:textId="2F587244" w:rsidR="00054D63" w:rsidRPr="008B68CA" w:rsidRDefault="0030607A" w:rsidP="006D421A">
            <w:pPr>
              <w:ind w:left="738" w:right="-23"/>
              <w:rPr>
                <w:rFonts w:ascii="Arial" w:hAnsi="Arial" w:cs="Arial"/>
                <w:b/>
                <w:sz w:val="16"/>
                <w:szCs w:val="16"/>
              </w:rPr>
            </w:pPr>
            <w:r w:rsidRPr="008B68CA">
              <w:rPr>
                <w:rFonts w:ascii="Arial" w:hAnsi="Arial" w:cs="Arial"/>
                <w:b/>
                <w:sz w:val="16"/>
                <w:szCs w:val="16"/>
              </w:rPr>
              <w:t>Responsable</w:t>
            </w:r>
            <w:r w:rsidR="008B68CA" w:rsidRPr="008B68CA">
              <w:rPr>
                <w:rFonts w:ascii="Arial" w:hAnsi="Arial" w:cs="Arial"/>
                <w:b/>
                <w:sz w:val="16"/>
                <w:szCs w:val="16"/>
              </w:rPr>
              <w:t>/CNHJ</w:t>
            </w:r>
            <w:r w:rsidR="0049601A" w:rsidRPr="008B68CA">
              <w:rPr>
                <w:rFonts w:ascii="Arial" w:hAnsi="Arial" w:cs="Arial"/>
                <w:b/>
                <w:sz w:val="16"/>
                <w:szCs w:val="16"/>
              </w:rPr>
              <w:t>:</w:t>
            </w:r>
          </w:p>
        </w:tc>
        <w:tc>
          <w:tcPr>
            <w:tcW w:w="6521" w:type="dxa"/>
          </w:tcPr>
          <w:p w14:paraId="11A235A0" w14:textId="40275E67" w:rsidR="00054D63" w:rsidRPr="008B68CA" w:rsidRDefault="0013411D" w:rsidP="008B05F9">
            <w:pPr>
              <w:ind w:right="309"/>
              <w:rPr>
                <w:rFonts w:ascii="Arial" w:hAnsi="Arial" w:cs="Arial"/>
                <w:sz w:val="16"/>
                <w:szCs w:val="16"/>
                <w:lang w:eastAsia="es-ES"/>
              </w:rPr>
            </w:pPr>
            <w:r>
              <w:rPr>
                <w:rFonts w:ascii="Arial" w:hAnsi="Arial" w:cs="Arial"/>
                <w:sz w:val="16"/>
                <w:szCs w:val="16"/>
                <w:lang w:eastAsia="es-ES"/>
              </w:rPr>
              <w:t>José Antonio Maya López.</w:t>
            </w:r>
          </w:p>
          <w:p w14:paraId="16EFF8CB" w14:textId="54684B8E" w:rsidR="00054D63" w:rsidRPr="008B68CA" w:rsidRDefault="0013411D" w:rsidP="008C0055">
            <w:pPr>
              <w:ind w:right="309"/>
              <w:rPr>
                <w:rFonts w:ascii="Arial" w:hAnsi="Arial" w:cs="Arial"/>
                <w:sz w:val="16"/>
                <w:szCs w:val="16"/>
                <w:lang w:eastAsia="es-ES"/>
              </w:rPr>
            </w:pPr>
            <w:r>
              <w:rPr>
                <w:rFonts w:ascii="Arial" w:hAnsi="Arial" w:cs="Arial"/>
                <w:sz w:val="16"/>
                <w:szCs w:val="16"/>
                <w:lang w:eastAsia="es-ES"/>
              </w:rPr>
              <w:t>Comisión Nacional de Honor y Justicia del PES.</w:t>
            </w:r>
          </w:p>
        </w:tc>
      </w:tr>
      <w:tr w:rsidR="0013411D" w:rsidRPr="008B68CA" w14:paraId="13B5B6FA" w14:textId="77777777" w:rsidTr="004D6F2D">
        <w:trPr>
          <w:trHeight w:val="118"/>
        </w:trPr>
        <w:tc>
          <w:tcPr>
            <w:tcW w:w="2694" w:type="dxa"/>
          </w:tcPr>
          <w:p w14:paraId="51C59FB2" w14:textId="5910435C" w:rsidR="0013411D" w:rsidRPr="008B68CA" w:rsidRDefault="0013411D" w:rsidP="006D421A">
            <w:pPr>
              <w:ind w:left="738" w:right="-23"/>
              <w:rPr>
                <w:rFonts w:ascii="Arial" w:hAnsi="Arial" w:cs="Arial"/>
                <w:b/>
                <w:sz w:val="16"/>
                <w:szCs w:val="16"/>
              </w:rPr>
            </w:pPr>
            <w:r>
              <w:rPr>
                <w:rFonts w:ascii="Arial" w:hAnsi="Arial" w:cs="Arial"/>
                <w:b/>
                <w:sz w:val="16"/>
                <w:szCs w:val="16"/>
              </w:rPr>
              <w:t>PES:</w:t>
            </w:r>
          </w:p>
        </w:tc>
        <w:tc>
          <w:tcPr>
            <w:tcW w:w="6521" w:type="dxa"/>
          </w:tcPr>
          <w:p w14:paraId="258C556B" w14:textId="5FF4FBAF" w:rsidR="0013411D" w:rsidRDefault="0013411D" w:rsidP="008B05F9">
            <w:pPr>
              <w:ind w:right="309"/>
              <w:rPr>
                <w:rFonts w:ascii="Arial" w:hAnsi="Arial" w:cs="Arial"/>
                <w:sz w:val="16"/>
                <w:szCs w:val="16"/>
                <w:lang w:eastAsia="es-ES"/>
              </w:rPr>
            </w:pPr>
            <w:r>
              <w:rPr>
                <w:rFonts w:ascii="Arial" w:hAnsi="Arial" w:cs="Arial"/>
                <w:sz w:val="16"/>
                <w:szCs w:val="16"/>
                <w:lang w:eastAsia="es-ES"/>
              </w:rPr>
              <w:t>Partido Encuentro Solidario.</w:t>
            </w:r>
          </w:p>
        </w:tc>
      </w:tr>
      <w:tr w:rsidR="0049601A" w:rsidRPr="008B68CA" w14:paraId="40819EDB" w14:textId="77777777" w:rsidTr="004D6F2D">
        <w:trPr>
          <w:trHeight w:val="150"/>
        </w:trPr>
        <w:tc>
          <w:tcPr>
            <w:tcW w:w="2694" w:type="dxa"/>
          </w:tcPr>
          <w:p w14:paraId="18A65E5E" w14:textId="731594C3" w:rsidR="0049601A" w:rsidRPr="008B68CA" w:rsidRDefault="0049601A" w:rsidP="006D421A">
            <w:pPr>
              <w:ind w:left="738" w:right="-23"/>
              <w:rPr>
                <w:rFonts w:ascii="Arial" w:hAnsi="Arial" w:cs="Arial"/>
                <w:b/>
                <w:sz w:val="16"/>
                <w:szCs w:val="16"/>
              </w:rPr>
            </w:pPr>
            <w:r w:rsidRPr="008B68CA">
              <w:rPr>
                <w:rFonts w:ascii="Arial" w:hAnsi="Arial" w:cs="Arial"/>
                <w:b/>
                <w:sz w:val="16"/>
                <w:szCs w:val="16"/>
              </w:rPr>
              <w:t>Tribunal:</w:t>
            </w:r>
          </w:p>
        </w:tc>
        <w:tc>
          <w:tcPr>
            <w:tcW w:w="6521" w:type="dxa"/>
          </w:tcPr>
          <w:p w14:paraId="417F0222" w14:textId="641F5B5A" w:rsidR="0049601A" w:rsidRPr="008B68CA" w:rsidRDefault="0049601A" w:rsidP="008B05F9">
            <w:pPr>
              <w:ind w:right="309"/>
              <w:rPr>
                <w:rFonts w:ascii="Arial" w:hAnsi="Arial" w:cs="Arial"/>
                <w:sz w:val="16"/>
                <w:szCs w:val="16"/>
                <w:lang w:eastAsia="es-ES"/>
              </w:rPr>
            </w:pPr>
            <w:r w:rsidRPr="008B68CA">
              <w:rPr>
                <w:rFonts w:ascii="Arial" w:hAnsi="Arial" w:cs="Arial"/>
                <w:sz w:val="16"/>
                <w:szCs w:val="16"/>
                <w:lang w:eastAsia="es-ES"/>
              </w:rPr>
              <w:t>Tribunal Electoral del Estado de Aguascalientes.</w:t>
            </w:r>
          </w:p>
        </w:tc>
      </w:tr>
      <w:tr w:rsidR="004D6F2D" w:rsidRPr="008B68CA" w14:paraId="66445E0F" w14:textId="77777777" w:rsidTr="004D6F2D">
        <w:trPr>
          <w:trHeight w:val="150"/>
        </w:trPr>
        <w:tc>
          <w:tcPr>
            <w:tcW w:w="2694" w:type="dxa"/>
          </w:tcPr>
          <w:p w14:paraId="6F202C79" w14:textId="68A93A23" w:rsidR="004D6F2D" w:rsidRPr="008B68CA" w:rsidRDefault="004D6F2D" w:rsidP="006D421A">
            <w:pPr>
              <w:ind w:left="738" w:right="-23"/>
              <w:rPr>
                <w:rFonts w:ascii="Arial" w:hAnsi="Arial" w:cs="Arial"/>
                <w:b/>
                <w:sz w:val="16"/>
                <w:szCs w:val="16"/>
              </w:rPr>
            </w:pPr>
            <w:r>
              <w:rPr>
                <w:rFonts w:ascii="Arial" w:hAnsi="Arial" w:cs="Arial"/>
                <w:b/>
                <w:sz w:val="16"/>
                <w:szCs w:val="16"/>
              </w:rPr>
              <w:t>Lineamientos:</w:t>
            </w:r>
          </w:p>
        </w:tc>
        <w:tc>
          <w:tcPr>
            <w:tcW w:w="6521" w:type="dxa"/>
          </w:tcPr>
          <w:p w14:paraId="40570AC1" w14:textId="7C085DBE" w:rsidR="004D6F2D" w:rsidRPr="008B68CA" w:rsidRDefault="004D6F2D" w:rsidP="004D6F2D">
            <w:pPr>
              <w:ind w:right="309"/>
              <w:jc w:val="both"/>
              <w:rPr>
                <w:rFonts w:ascii="Arial" w:hAnsi="Arial" w:cs="Arial"/>
                <w:sz w:val="16"/>
                <w:szCs w:val="16"/>
                <w:lang w:eastAsia="es-ES"/>
              </w:rPr>
            </w:pPr>
            <w:r>
              <w:rPr>
                <w:rFonts w:ascii="Arial" w:hAnsi="Arial" w:cs="Arial"/>
                <w:sz w:val="16"/>
                <w:szCs w:val="16"/>
                <w:lang w:eastAsia="es-ES"/>
              </w:rPr>
              <w:t xml:space="preserve">Lineamientos para la tramitación, sustanciación y resolución del juicio para la protección de los derechos político-electorales de la ciudadanía, el juicio electoral y el asunto general, competencia del Tribunal </w:t>
            </w:r>
            <w:r w:rsidRPr="008B68CA">
              <w:rPr>
                <w:rFonts w:ascii="Arial" w:hAnsi="Arial" w:cs="Arial"/>
                <w:sz w:val="16"/>
                <w:szCs w:val="16"/>
                <w:lang w:eastAsia="es-ES"/>
              </w:rPr>
              <w:t>Electoral del Estado de Aguascalientes.</w:t>
            </w:r>
          </w:p>
        </w:tc>
      </w:tr>
      <w:tr w:rsidR="00054D63" w:rsidRPr="008B68CA" w14:paraId="58C505BA" w14:textId="77777777" w:rsidTr="004D6F2D">
        <w:trPr>
          <w:trHeight w:val="138"/>
        </w:trPr>
        <w:tc>
          <w:tcPr>
            <w:tcW w:w="2694" w:type="dxa"/>
          </w:tcPr>
          <w:p w14:paraId="502276FA" w14:textId="77777777" w:rsidR="00054D63" w:rsidRPr="008B68CA" w:rsidRDefault="00054D63" w:rsidP="006D421A">
            <w:pPr>
              <w:ind w:left="738" w:right="-23"/>
              <w:rPr>
                <w:rFonts w:ascii="Arial" w:hAnsi="Arial" w:cs="Arial"/>
                <w:b/>
                <w:sz w:val="16"/>
                <w:szCs w:val="16"/>
                <w:lang w:eastAsia="es-ES"/>
              </w:rPr>
            </w:pPr>
            <w:r w:rsidRPr="008B68CA">
              <w:rPr>
                <w:rFonts w:ascii="Arial" w:hAnsi="Arial" w:cs="Arial"/>
                <w:b/>
                <w:sz w:val="16"/>
                <w:szCs w:val="16"/>
                <w:lang w:eastAsia="es-ES"/>
              </w:rPr>
              <w:t>Código Electoral:</w:t>
            </w:r>
          </w:p>
        </w:tc>
        <w:tc>
          <w:tcPr>
            <w:tcW w:w="6521" w:type="dxa"/>
          </w:tcPr>
          <w:p w14:paraId="35A6C685" w14:textId="77777777" w:rsidR="00054D63" w:rsidRDefault="00054D63" w:rsidP="008B05F9">
            <w:pPr>
              <w:ind w:right="309"/>
              <w:rPr>
                <w:rFonts w:ascii="Arial" w:hAnsi="Arial" w:cs="Arial"/>
                <w:sz w:val="16"/>
                <w:szCs w:val="16"/>
                <w:lang w:eastAsia="es-ES"/>
              </w:rPr>
            </w:pPr>
            <w:r w:rsidRPr="008B68CA">
              <w:rPr>
                <w:rFonts w:ascii="Arial" w:hAnsi="Arial" w:cs="Arial"/>
                <w:sz w:val="16"/>
                <w:szCs w:val="16"/>
                <w:lang w:eastAsia="es-ES"/>
              </w:rPr>
              <w:t>Código Electoral del Estado de Aguascalientes.</w:t>
            </w:r>
          </w:p>
          <w:p w14:paraId="0EAE931A" w14:textId="77777777" w:rsidR="008B05F9" w:rsidRDefault="008B05F9" w:rsidP="00C541DE">
            <w:pPr>
              <w:ind w:left="36" w:right="309"/>
              <w:rPr>
                <w:rFonts w:ascii="Arial" w:hAnsi="Arial" w:cs="Arial"/>
                <w:sz w:val="16"/>
                <w:szCs w:val="16"/>
                <w:lang w:eastAsia="es-ES"/>
              </w:rPr>
            </w:pPr>
          </w:p>
          <w:p w14:paraId="7B82A7DF" w14:textId="77777777" w:rsidR="00E166D6" w:rsidRDefault="00E166D6" w:rsidP="00C541DE">
            <w:pPr>
              <w:ind w:left="36" w:right="309"/>
              <w:rPr>
                <w:rFonts w:ascii="Arial" w:hAnsi="Arial" w:cs="Arial"/>
                <w:sz w:val="16"/>
                <w:szCs w:val="16"/>
                <w:lang w:eastAsia="es-ES"/>
              </w:rPr>
            </w:pPr>
          </w:p>
          <w:p w14:paraId="553B2346" w14:textId="5A4DF37B" w:rsidR="00E166D6" w:rsidRPr="008B68CA" w:rsidRDefault="00E166D6" w:rsidP="00C541DE">
            <w:pPr>
              <w:ind w:left="36" w:right="309"/>
              <w:rPr>
                <w:rFonts w:ascii="Arial" w:hAnsi="Arial" w:cs="Arial"/>
                <w:sz w:val="16"/>
                <w:szCs w:val="16"/>
                <w:lang w:eastAsia="es-ES"/>
              </w:rPr>
            </w:pPr>
          </w:p>
        </w:tc>
      </w:tr>
    </w:tbl>
    <w:p w14:paraId="5F83AA38" w14:textId="4809FEF4" w:rsidR="007442AA" w:rsidRPr="008B05F9" w:rsidRDefault="00371850" w:rsidP="005C7ACD">
      <w:pPr>
        <w:pStyle w:val="Ttulo1"/>
        <w:numPr>
          <w:ilvl w:val="0"/>
          <w:numId w:val="2"/>
        </w:numPr>
        <w:spacing w:before="0" w:beforeAutospacing="0" w:after="0" w:afterAutospacing="0"/>
        <w:ind w:left="426" w:hanging="426"/>
        <w:jc w:val="left"/>
        <w:rPr>
          <w:rFonts w:eastAsia="Times New Roman" w:cs="Arial"/>
          <w:caps w:val="0"/>
          <w:szCs w:val="24"/>
        </w:rPr>
      </w:pPr>
      <w:bookmarkStart w:id="2" w:name="_Toc71637779"/>
      <w:r w:rsidRPr="008B05F9">
        <w:rPr>
          <w:rFonts w:eastAsia="Times New Roman" w:cs="Arial"/>
          <w:caps w:val="0"/>
          <w:szCs w:val="24"/>
        </w:rPr>
        <w:t>Antecedentes del caso</w:t>
      </w:r>
      <w:r w:rsidR="00054D63" w:rsidRPr="008B05F9">
        <w:rPr>
          <w:rStyle w:val="Refdenotaalpie"/>
          <w:rFonts w:eastAsia="Times New Roman" w:cs="Arial"/>
          <w:szCs w:val="24"/>
        </w:rPr>
        <w:footnoteReference w:id="2"/>
      </w:r>
      <w:bookmarkEnd w:id="2"/>
    </w:p>
    <w:p w14:paraId="4286A983" w14:textId="77777777" w:rsidR="007442AA" w:rsidRPr="008B05F9" w:rsidRDefault="007442AA" w:rsidP="008B68CA">
      <w:pPr>
        <w:pStyle w:val="Sinespaciado"/>
        <w:rPr>
          <w:sz w:val="24"/>
          <w:szCs w:val="24"/>
        </w:rPr>
      </w:pPr>
    </w:p>
    <w:p w14:paraId="32E39E16" w14:textId="442DBA61" w:rsidR="00256078" w:rsidRPr="008B05F9" w:rsidRDefault="0040142B" w:rsidP="008B68CA">
      <w:pPr>
        <w:pStyle w:val="Prrafodelista"/>
        <w:numPr>
          <w:ilvl w:val="0"/>
          <w:numId w:val="6"/>
        </w:numPr>
        <w:tabs>
          <w:tab w:val="left" w:pos="284"/>
        </w:tabs>
        <w:spacing w:line="360" w:lineRule="auto"/>
        <w:ind w:left="0" w:firstLine="0"/>
        <w:jc w:val="both"/>
        <w:rPr>
          <w:rFonts w:ascii="Arial" w:hAnsi="Arial" w:cs="Arial"/>
          <w:b/>
          <w:bCs/>
          <w:sz w:val="24"/>
          <w:szCs w:val="24"/>
        </w:rPr>
      </w:pPr>
      <w:r w:rsidRPr="008B05F9">
        <w:rPr>
          <w:rFonts w:ascii="Arial" w:hAnsi="Arial" w:cs="Arial"/>
          <w:b/>
          <w:bCs/>
          <w:sz w:val="24"/>
          <w:szCs w:val="24"/>
        </w:rPr>
        <w:t>PEL 2020-2021</w:t>
      </w:r>
      <w:r w:rsidR="006D421A" w:rsidRPr="008B05F9">
        <w:rPr>
          <w:rFonts w:ascii="Arial" w:hAnsi="Arial" w:cs="Arial"/>
          <w:b/>
          <w:bCs/>
          <w:sz w:val="24"/>
          <w:szCs w:val="24"/>
        </w:rPr>
        <w:t>.</w:t>
      </w:r>
      <w:r w:rsidR="0030607A" w:rsidRPr="008B05F9">
        <w:rPr>
          <w:rFonts w:ascii="Arial" w:hAnsi="Arial" w:cs="Arial"/>
          <w:b/>
          <w:bCs/>
          <w:sz w:val="24"/>
          <w:szCs w:val="24"/>
        </w:rPr>
        <w:t xml:space="preserve"> </w:t>
      </w:r>
      <w:r w:rsidR="0030607A" w:rsidRPr="008B05F9">
        <w:rPr>
          <w:rFonts w:ascii="Arial" w:hAnsi="Arial" w:cs="Arial"/>
          <w:sz w:val="24"/>
          <w:szCs w:val="24"/>
        </w:rPr>
        <w:t xml:space="preserve">El 3 de noviembre de 2020, inició el proceso electoral local para renovar los </w:t>
      </w:r>
      <w:r w:rsidR="008B05F9" w:rsidRPr="008B05F9">
        <w:rPr>
          <w:rFonts w:ascii="Arial" w:hAnsi="Arial" w:cs="Arial"/>
          <w:sz w:val="24"/>
          <w:szCs w:val="24"/>
        </w:rPr>
        <w:t>A</w:t>
      </w:r>
      <w:r w:rsidR="0030607A" w:rsidRPr="008B05F9">
        <w:rPr>
          <w:rFonts w:ascii="Arial" w:hAnsi="Arial" w:cs="Arial"/>
          <w:sz w:val="24"/>
          <w:szCs w:val="24"/>
        </w:rPr>
        <w:t xml:space="preserve">yuntamientos y </w:t>
      </w:r>
      <w:r w:rsidR="008B05F9" w:rsidRPr="008B05F9">
        <w:rPr>
          <w:rFonts w:ascii="Arial" w:hAnsi="Arial" w:cs="Arial"/>
          <w:sz w:val="24"/>
          <w:szCs w:val="24"/>
        </w:rPr>
        <w:t>D</w:t>
      </w:r>
      <w:r w:rsidR="0030607A" w:rsidRPr="008B05F9">
        <w:rPr>
          <w:rFonts w:ascii="Arial" w:hAnsi="Arial" w:cs="Arial"/>
          <w:sz w:val="24"/>
          <w:szCs w:val="24"/>
        </w:rPr>
        <w:t xml:space="preserve">iputaciones </w:t>
      </w:r>
      <w:r w:rsidR="003E5042" w:rsidRPr="008B05F9">
        <w:rPr>
          <w:rFonts w:ascii="Arial" w:hAnsi="Arial" w:cs="Arial"/>
          <w:sz w:val="24"/>
          <w:szCs w:val="24"/>
        </w:rPr>
        <w:t xml:space="preserve">en el </w:t>
      </w:r>
      <w:r w:rsidR="0030607A" w:rsidRPr="008B05F9">
        <w:rPr>
          <w:rFonts w:ascii="Arial" w:hAnsi="Arial" w:cs="Arial"/>
          <w:sz w:val="24"/>
          <w:szCs w:val="24"/>
        </w:rPr>
        <w:t>Estado de Aguascalientes.</w:t>
      </w:r>
    </w:p>
    <w:p w14:paraId="4A05A17E" w14:textId="77777777" w:rsidR="00256078" w:rsidRPr="00C7240C" w:rsidRDefault="00256078" w:rsidP="00C7240C">
      <w:pPr>
        <w:pStyle w:val="Sinespaciado"/>
      </w:pPr>
      <w:bookmarkStart w:id="3" w:name="_Hlk69147458"/>
    </w:p>
    <w:p w14:paraId="62CAE24D" w14:textId="0F30C301" w:rsidR="008B05F9" w:rsidRPr="004D6F2D" w:rsidRDefault="00A9659C" w:rsidP="00C7240C">
      <w:pPr>
        <w:pStyle w:val="Prrafodelista"/>
        <w:numPr>
          <w:ilvl w:val="0"/>
          <w:numId w:val="6"/>
        </w:numPr>
        <w:tabs>
          <w:tab w:val="left" w:pos="284"/>
        </w:tabs>
        <w:spacing w:line="360" w:lineRule="auto"/>
        <w:ind w:left="0" w:firstLine="0"/>
        <w:jc w:val="both"/>
        <w:rPr>
          <w:sz w:val="24"/>
          <w:szCs w:val="24"/>
        </w:rPr>
      </w:pPr>
      <w:r w:rsidRPr="008B05F9">
        <w:rPr>
          <w:rFonts w:ascii="Arial" w:hAnsi="Arial" w:cs="Arial"/>
          <w:b/>
          <w:sz w:val="24"/>
          <w:szCs w:val="24"/>
        </w:rPr>
        <w:t xml:space="preserve">Emisión de convocatoria para </w:t>
      </w:r>
      <w:r w:rsidR="008C0055" w:rsidRPr="008B05F9">
        <w:rPr>
          <w:rFonts w:ascii="Arial" w:hAnsi="Arial" w:cs="Arial"/>
          <w:b/>
          <w:sz w:val="24"/>
          <w:szCs w:val="24"/>
        </w:rPr>
        <w:t>la selección de candidaturas del PES</w:t>
      </w:r>
      <w:r w:rsidR="00DA5414" w:rsidRPr="008B05F9">
        <w:rPr>
          <w:rFonts w:ascii="Arial" w:hAnsi="Arial" w:cs="Arial"/>
          <w:b/>
          <w:sz w:val="24"/>
          <w:szCs w:val="24"/>
        </w:rPr>
        <w:t>.</w:t>
      </w:r>
      <w:r w:rsidR="001C5748" w:rsidRPr="008B05F9">
        <w:rPr>
          <w:rFonts w:ascii="Arial" w:hAnsi="Arial" w:cs="Arial"/>
          <w:b/>
          <w:sz w:val="24"/>
          <w:szCs w:val="24"/>
        </w:rPr>
        <w:t xml:space="preserve"> </w:t>
      </w:r>
      <w:r w:rsidR="008C0055" w:rsidRPr="008B05F9">
        <w:rPr>
          <w:rFonts w:ascii="Arial" w:hAnsi="Arial" w:cs="Arial"/>
          <w:sz w:val="24"/>
          <w:szCs w:val="24"/>
        </w:rPr>
        <w:t>A dicho del promovente</w:t>
      </w:r>
      <w:r w:rsidR="00427FB9" w:rsidRPr="008B05F9">
        <w:rPr>
          <w:rFonts w:ascii="Arial" w:hAnsi="Arial" w:cs="Arial"/>
          <w:b/>
          <w:sz w:val="24"/>
          <w:szCs w:val="24"/>
        </w:rPr>
        <w:t xml:space="preserve">, </w:t>
      </w:r>
      <w:r w:rsidR="001C5748" w:rsidRPr="008B05F9">
        <w:rPr>
          <w:rFonts w:ascii="Arial" w:hAnsi="Arial" w:cs="Arial"/>
          <w:sz w:val="24"/>
          <w:szCs w:val="24"/>
        </w:rPr>
        <w:t xml:space="preserve">el </w:t>
      </w:r>
      <w:r w:rsidR="008C0055" w:rsidRPr="008B05F9">
        <w:rPr>
          <w:rFonts w:ascii="Arial" w:hAnsi="Arial" w:cs="Arial"/>
          <w:sz w:val="24"/>
          <w:szCs w:val="24"/>
        </w:rPr>
        <w:t>2</w:t>
      </w:r>
      <w:r w:rsidR="009D3AAF" w:rsidRPr="008B05F9">
        <w:rPr>
          <w:rFonts w:ascii="Arial" w:hAnsi="Arial" w:cs="Arial"/>
          <w:sz w:val="24"/>
          <w:szCs w:val="24"/>
        </w:rPr>
        <w:t>0</w:t>
      </w:r>
      <w:r w:rsidR="00F62BB5" w:rsidRPr="008B05F9">
        <w:rPr>
          <w:rFonts w:ascii="Arial" w:hAnsi="Arial" w:cs="Arial"/>
          <w:sz w:val="24"/>
          <w:szCs w:val="24"/>
        </w:rPr>
        <w:t xml:space="preserve"> de noviembre de 2020</w:t>
      </w:r>
      <w:r w:rsidR="008B05F9" w:rsidRPr="008B05F9">
        <w:rPr>
          <w:rFonts w:ascii="Arial" w:hAnsi="Arial" w:cs="Arial"/>
          <w:sz w:val="24"/>
          <w:szCs w:val="24"/>
        </w:rPr>
        <w:t>,</w:t>
      </w:r>
      <w:r w:rsidR="00DD4C19" w:rsidRPr="008B05F9">
        <w:rPr>
          <w:rFonts w:ascii="Arial" w:hAnsi="Arial" w:cs="Arial"/>
          <w:sz w:val="24"/>
          <w:szCs w:val="24"/>
        </w:rPr>
        <w:t xml:space="preserve"> </w:t>
      </w:r>
      <w:r w:rsidR="008C0055" w:rsidRPr="008B05F9">
        <w:rPr>
          <w:rFonts w:ascii="Arial" w:hAnsi="Arial" w:cs="Arial"/>
          <w:sz w:val="24"/>
          <w:szCs w:val="24"/>
        </w:rPr>
        <w:t xml:space="preserve">el PES </w:t>
      </w:r>
      <w:r w:rsidR="009D3AAF" w:rsidRPr="008B05F9">
        <w:rPr>
          <w:rFonts w:ascii="Arial" w:hAnsi="Arial" w:cs="Arial"/>
          <w:sz w:val="24"/>
          <w:szCs w:val="24"/>
        </w:rPr>
        <w:t xml:space="preserve">emitió la convocatoria para la selección de candidaturas a </w:t>
      </w:r>
      <w:r w:rsidR="008B05F9" w:rsidRPr="008B05F9">
        <w:rPr>
          <w:rFonts w:ascii="Arial" w:hAnsi="Arial" w:cs="Arial"/>
          <w:sz w:val="24"/>
          <w:szCs w:val="24"/>
        </w:rPr>
        <w:t>D</w:t>
      </w:r>
      <w:r w:rsidR="009D3AAF" w:rsidRPr="008B05F9">
        <w:rPr>
          <w:rFonts w:ascii="Arial" w:hAnsi="Arial" w:cs="Arial"/>
          <w:sz w:val="24"/>
          <w:szCs w:val="24"/>
        </w:rPr>
        <w:t xml:space="preserve">iputaciones y </w:t>
      </w:r>
      <w:r w:rsidR="008B05F9" w:rsidRPr="008B05F9">
        <w:rPr>
          <w:rFonts w:ascii="Arial" w:hAnsi="Arial" w:cs="Arial"/>
          <w:sz w:val="24"/>
          <w:szCs w:val="24"/>
        </w:rPr>
        <w:t>A</w:t>
      </w:r>
      <w:r w:rsidR="009D3AAF" w:rsidRPr="008B05F9">
        <w:rPr>
          <w:rFonts w:ascii="Arial" w:hAnsi="Arial" w:cs="Arial"/>
          <w:sz w:val="24"/>
          <w:szCs w:val="24"/>
        </w:rPr>
        <w:t>yuntamientos por ambos principios.</w:t>
      </w:r>
    </w:p>
    <w:p w14:paraId="302A653E" w14:textId="2FEB583F" w:rsidR="0040142B" w:rsidRPr="008B05F9" w:rsidRDefault="009D3AAF" w:rsidP="00C62245">
      <w:pPr>
        <w:pStyle w:val="Prrafodelista"/>
        <w:numPr>
          <w:ilvl w:val="0"/>
          <w:numId w:val="6"/>
        </w:numPr>
        <w:tabs>
          <w:tab w:val="left" w:pos="284"/>
        </w:tabs>
        <w:spacing w:line="360" w:lineRule="auto"/>
        <w:ind w:left="0" w:firstLine="0"/>
        <w:jc w:val="both"/>
        <w:rPr>
          <w:sz w:val="24"/>
          <w:szCs w:val="24"/>
        </w:rPr>
      </w:pPr>
      <w:r w:rsidRPr="008B05F9">
        <w:rPr>
          <w:rFonts w:ascii="Arial" w:hAnsi="Arial" w:cs="Arial"/>
          <w:b/>
          <w:bCs/>
          <w:sz w:val="24"/>
          <w:szCs w:val="24"/>
        </w:rPr>
        <w:lastRenderedPageBreak/>
        <w:t>Regist</w:t>
      </w:r>
      <w:r w:rsidR="00F62BB5" w:rsidRPr="008B05F9">
        <w:rPr>
          <w:rFonts w:ascii="Arial" w:hAnsi="Arial" w:cs="Arial"/>
          <w:b/>
          <w:bCs/>
          <w:sz w:val="24"/>
          <w:szCs w:val="24"/>
        </w:rPr>
        <w:t xml:space="preserve">ro en línea de las candidaturas. </w:t>
      </w:r>
      <w:r w:rsidR="00C91F5B">
        <w:rPr>
          <w:rFonts w:ascii="Arial" w:hAnsi="Arial" w:cs="Arial"/>
          <w:bCs/>
          <w:sz w:val="24"/>
          <w:szCs w:val="24"/>
        </w:rPr>
        <w:t>El actor refiere que</w:t>
      </w:r>
      <w:r w:rsidR="00F62BB5" w:rsidRPr="008B05F9">
        <w:rPr>
          <w:rFonts w:ascii="Arial" w:hAnsi="Arial" w:cs="Arial"/>
          <w:bCs/>
          <w:sz w:val="24"/>
          <w:szCs w:val="24"/>
        </w:rPr>
        <w:t xml:space="preserve"> el</w:t>
      </w:r>
      <w:r w:rsidR="00E53713" w:rsidRPr="008B05F9">
        <w:rPr>
          <w:rFonts w:ascii="Arial" w:hAnsi="Arial" w:cs="Arial"/>
          <w:bCs/>
          <w:sz w:val="24"/>
          <w:szCs w:val="24"/>
        </w:rPr>
        <w:t xml:space="preserve"> 19 de diciembre</w:t>
      </w:r>
      <w:r w:rsidR="00A47B4C" w:rsidRPr="008B05F9">
        <w:rPr>
          <w:rFonts w:ascii="Arial" w:hAnsi="Arial" w:cs="Arial"/>
          <w:bCs/>
          <w:sz w:val="24"/>
          <w:szCs w:val="24"/>
        </w:rPr>
        <w:t xml:space="preserve"> de 2020</w:t>
      </w:r>
      <w:r w:rsidR="008B05F9" w:rsidRPr="008B05F9">
        <w:rPr>
          <w:rFonts w:ascii="Arial" w:hAnsi="Arial" w:cs="Arial"/>
          <w:bCs/>
          <w:sz w:val="24"/>
          <w:szCs w:val="24"/>
        </w:rPr>
        <w:t>,</w:t>
      </w:r>
      <w:r w:rsidR="00A47B4C" w:rsidRPr="008B05F9">
        <w:rPr>
          <w:rFonts w:ascii="Arial" w:hAnsi="Arial" w:cs="Arial"/>
          <w:bCs/>
          <w:sz w:val="24"/>
          <w:szCs w:val="24"/>
        </w:rPr>
        <w:t xml:space="preserve"> realizó su registro</w:t>
      </w:r>
      <w:r w:rsidR="00F62BB5" w:rsidRPr="008B05F9">
        <w:rPr>
          <w:rFonts w:ascii="Arial" w:hAnsi="Arial" w:cs="Arial"/>
          <w:bCs/>
          <w:sz w:val="24"/>
          <w:szCs w:val="24"/>
        </w:rPr>
        <w:t xml:space="preserve"> como candidato a Diputado Local y Federal por ambos principios.</w:t>
      </w:r>
    </w:p>
    <w:p w14:paraId="665FFA13" w14:textId="77777777" w:rsidR="00297C25" w:rsidRPr="008B05F9" w:rsidRDefault="00297C25" w:rsidP="00C7240C">
      <w:pPr>
        <w:pStyle w:val="Sinespaciado"/>
      </w:pPr>
    </w:p>
    <w:p w14:paraId="0574A163" w14:textId="238A94A8" w:rsidR="00297C25" w:rsidRPr="008B05F9" w:rsidRDefault="0013411D" w:rsidP="0013411D">
      <w:pPr>
        <w:tabs>
          <w:tab w:val="left" w:pos="284"/>
        </w:tabs>
        <w:spacing w:line="360" w:lineRule="auto"/>
        <w:jc w:val="both"/>
        <w:rPr>
          <w:sz w:val="24"/>
          <w:szCs w:val="24"/>
        </w:rPr>
      </w:pPr>
      <w:r w:rsidRPr="008B05F9">
        <w:rPr>
          <w:rFonts w:ascii="Arial" w:hAnsi="Arial" w:cs="Arial"/>
          <w:b/>
          <w:sz w:val="24"/>
          <w:szCs w:val="24"/>
        </w:rPr>
        <w:t>4. Primer</w:t>
      </w:r>
      <w:r w:rsidR="00297C25" w:rsidRPr="008B05F9">
        <w:rPr>
          <w:rFonts w:ascii="Arial" w:hAnsi="Arial" w:cs="Arial"/>
          <w:b/>
          <w:sz w:val="24"/>
          <w:szCs w:val="24"/>
        </w:rPr>
        <w:t xml:space="preserve"> juicio ciudadano</w:t>
      </w:r>
      <w:r w:rsidR="00297C25" w:rsidRPr="008B05F9">
        <w:rPr>
          <w:rFonts w:ascii="Arial" w:hAnsi="Arial" w:cs="Arial"/>
          <w:sz w:val="24"/>
          <w:szCs w:val="24"/>
        </w:rPr>
        <w:t xml:space="preserve">. El 3 de abril, el hoy actor </w:t>
      </w:r>
      <w:r w:rsidR="00742288" w:rsidRPr="008B05F9">
        <w:rPr>
          <w:rFonts w:ascii="Arial" w:hAnsi="Arial" w:cs="Arial"/>
          <w:sz w:val="24"/>
          <w:szCs w:val="24"/>
        </w:rPr>
        <w:t>en su carácter de aspirante a una candidatura a una diputación local</w:t>
      </w:r>
      <w:r w:rsidR="008B05F9" w:rsidRPr="008B05F9">
        <w:rPr>
          <w:rFonts w:ascii="Arial" w:hAnsi="Arial" w:cs="Arial"/>
          <w:sz w:val="24"/>
          <w:szCs w:val="24"/>
        </w:rPr>
        <w:t>,</w:t>
      </w:r>
      <w:r w:rsidR="00742288" w:rsidRPr="008B05F9">
        <w:rPr>
          <w:rFonts w:ascii="Arial" w:hAnsi="Arial" w:cs="Arial"/>
          <w:sz w:val="24"/>
          <w:szCs w:val="24"/>
        </w:rPr>
        <w:t xml:space="preserve"> </w:t>
      </w:r>
      <w:r w:rsidR="00297C25" w:rsidRPr="008B05F9">
        <w:rPr>
          <w:rFonts w:ascii="Arial" w:hAnsi="Arial" w:cs="Arial"/>
          <w:sz w:val="24"/>
          <w:szCs w:val="24"/>
        </w:rPr>
        <w:t xml:space="preserve">presentó </w:t>
      </w:r>
      <w:r w:rsidR="008B05F9" w:rsidRPr="008B05F9">
        <w:rPr>
          <w:rFonts w:ascii="Arial" w:hAnsi="Arial" w:cs="Arial"/>
          <w:sz w:val="24"/>
          <w:szCs w:val="24"/>
        </w:rPr>
        <w:t xml:space="preserve">un juicio ciudadano </w:t>
      </w:r>
      <w:r w:rsidR="00297C25" w:rsidRPr="008B05F9">
        <w:rPr>
          <w:rFonts w:ascii="Arial" w:hAnsi="Arial" w:cs="Arial"/>
          <w:sz w:val="24"/>
          <w:szCs w:val="24"/>
        </w:rPr>
        <w:t>ante este Tribunal</w:t>
      </w:r>
      <w:r w:rsidR="00C91F5B">
        <w:rPr>
          <w:rFonts w:ascii="Arial" w:hAnsi="Arial" w:cs="Arial"/>
          <w:sz w:val="24"/>
          <w:szCs w:val="24"/>
        </w:rPr>
        <w:t>,</w:t>
      </w:r>
      <w:r w:rsidR="00297C25" w:rsidRPr="008B05F9">
        <w:rPr>
          <w:rFonts w:ascii="Arial" w:hAnsi="Arial" w:cs="Arial"/>
          <w:sz w:val="24"/>
          <w:szCs w:val="24"/>
        </w:rPr>
        <w:t xml:space="preserve"> </w:t>
      </w:r>
      <w:r w:rsidR="008B05F9" w:rsidRPr="008B05F9">
        <w:rPr>
          <w:rFonts w:ascii="Arial" w:hAnsi="Arial" w:cs="Arial"/>
          <w:sz w:val="24"/>
          <w:szCs w:val="24"/>
        </w:rPr>
        <w:t xml:space="preserve">en </w:t>
      </w:r>
      <w:r w:rsidR="00C91F5B">
        <w:rPr>
          <w:rFonts w:ascii="Arial" w:hAnsi="Arial" w:cs="Arial"/>
          <w:sz w:val="24"/>
          <w:szCs w:val="24"/>
        </w:rPr>
        <w:t xml:space="preserve">el </w:t>
      </w:r>
      <w:r w:rsidR="008B05F9" w:rsidRPr="008B05F9">
        <w:rPr>
          <w:rFonts w:ascii="Arial" w:hAnsi="Arial" w:cs="Arial"/>
          <w:sz w:val="24"/>
          <w:szCs w:val="24"/>
        </w:rPr>
        <w:t xml:space="preserve">que se duele de la negativa del PES </w:t>
      </w:r>
      <w:r w:rsidR="00C91F5B">
        <w:rPr>
          <w:rFonts w:ascii="Arial" w:hAnsi="Arial" w:cs="Arial"/>
          <w:sz w:val="24"/>
          <w:szCs w:val="24"/>
        </w:rPr>
        <w:t>de</w:t>
      </w:r>
      <w:r w:rsidR="008B05F9" w:rsidRPr="008B05F9">
        <w:rPr>
          <w:rFonts w:ascii="Arial" w:hAnsi="Arial" w:cs="Arial"/>
          <w:sz w:val="24"/>
          <w:szCs w:val="24"/>
        </w:rPr>
        <w:t xml:space="preserve"> realizar su registro como candidato, </w:t>
      </w:r>
      <w:r w:rsidR="00C91F5B">
        <w:rPr>
          <w:rFonts w:ascii="Arial" w:hAnsi="Arial" w:cs="Arial"/>
          <w:sz w:val="24"/>
          <w:szCs w:val="24"/>
        </w:rPr>
        <w:t>lo que estima que</w:t>
      </w:r>
      <w:r w:rsidR="000511DB" w:rsidRPr="008B05F9">
        <w:rPr>
          <w:rFonts w:ascii="Arial" w:hAnsi="Arial" w:cs="Arial"/>
          <w:sz w:val="24"/>
          <w:szCs w:val="24"/>
        </w:rPr>
        <w:t xml:space="preserve"> v</w:t>
      </w:r>
      <w:r w:rsidR="008B05F9" w:rsidRPr="008B05F9">
        <w:rPr>
          <w:rFonts w:ascii="Arial" w:hAnsi="Arial" w:cs="Arial"/>
          <w:sz w:val="24"/>
          <w:szCs w:val="24"/>
        </w:rPr>
        <w:t xml:space="preserve">ulneró </w:t>
      </w:r>
      <w:r w:rsidR="000511DB" w:rsidRPr="008B05F9">
        <w:rPr>
          <w:rFonts w:ascii="Arial" w:hAnsi="Arial" w:cs="Arial"/>
          <w:sz w:val="24"/>
          <w:szCs w:val="24"/>
        </w:rPr>
        <w:t>su derecho a ser votado</w:t>
      </w:r>
      <w:r w:rsidR="00463997" w:rsidRPr="008B05F9">
        <w:rPr>
          <w:rFonts w:ascii="Arial" w:hAnsi="Arial" w:cs="Arial"/>
          <w:sz w:val="24"/>
          <w:szCs w:val="24"/>
        </w:rPr>
        <w:t>.</w:t>
      </w:r>
    </w:p>
    <w:p w14:paraId="384ECFD4" w14:textId="77777777" w:rsidR="00463997" w:rsidRPr="008B05F9" w:rsidRDefault="00463997" w:rsidP="00C7240C">
      <w:pPr>
        <w:pStyle w:val="Sinespaciado"/>
      </w:pPr>
    </w:p>
    <w:p w14:paraId="005E2F72" w14:textId="0B982C64" w:rsidR="00463997" w:rsidRPr="008B05F9" w:rsidRDefault="0013411D" w:rsidP="0013411D">
      <w:pPr>
        <w:tabs>
          <w:tab w:val="left" w:pos="284"/>
        </w:tabs>
        <w:spacing w:line="360" w:lineRule="auto"/>
        <w:jc w:val="both"/>
        <w:rPr>
          <w:rFonts w:ascii="Arial" w:hAnsi="Arial" w:cs="Arial"/>
          <w:sz w:val="24"/>
          <w:szCs w:val="24"/>
        </w:rPr>
      </w:pPr>
      <w:r w:rsidRPr="008B05F9">
        <w:rPr>
          <w:rFonts w:ascii="Arial" w:hAnsi="Arial" w:cs="Arial"/>
          <w:b/>
          <w:sz w:val="24"/>
          <w:szCs w:val="24"/>
        </w:rPr>
        <w:t>5. Acuerdo</w:t>
      </w:r>
      <w:r w:rsidR="00463997" w:rsidRPr="008B05F9">
        <w:rPr>
          <w:rFonts w:ascii="Arial" w:hAnsi="Arial" w:cs="Arial"/>
          <w:b/>
          <w:sz w:val="24"/>
          <w:szCs w:val="24"/>
        </w:rPr>
        <w:t xml:space="preserve"> plenario de reencauzamiento. </w:t>
      </w:r>
      <w:r w:rsidR="000511DB" w:rsidRPr="008B05F9">
        <w:rPr>
          <w:rFonts w:ascii="Arial" w:hAnsi="Arial" w:cs="Arial"/>
          <w:sz w:val="24"/>
          <w:szCs w:val="24"/>
        </w:rPr>
        <w:t xml:space="preserve">El 6 de abril, </w:t>
      </w:r>
      <w:r w:rsidR="00463997" w:rsidRPr="008B05F9">
        <w:rPr>
          <w:rFonts w:ascii="Arial" w:hAnsi="Arial" w:cs="Arial"/>
          <w:sz w:val="24"/>
          <w:szCs w:val="24"/>
        </w:rPr>
        <w:t>est</w:t>
      </w:r>
      <w:r w:rsidR="00C7240C">
        <w:rPr>
          <w:rFonts w:ascii="Arial" w:hAnsi="Arial" w:cs="Arial"/>
          <w:sz w:val="24"/>
          <w:szCs w:val="24"/>
        </w:rPr>
        <w:t>e</w:t>
      </w:r>
      <w:r w:rsidR="00463997" w:rsidRPr="008B05F9">
        <w:rPr>
          <w:rFonts w:ascii="Arial" w:hAnsi="Arial" w:cs="Arial"/>
          <w:sz w:val="24"/>
          <w:szCs w:val="24"/>
        </w:rPr>
        <w:t xml:space="preserve"> </w:t>
      </w:r>
      <w:r w:rsidR="008B05F9" w:rsidRPr="008B05F9">
        <w:rPr>
          <w:rFonts w:ascii="Arial" w:hAnsi="Arial" w:cs="Arial"/>
          <w:sz w:val="24"/>
          <w:szCs w:val="24"/>
        </w:rPr>
        <w:t>Tribunal</w:t>
      </w:r>
      <w:r w:rsidR="00463997" w:rsidRPr="008B05F9">
        <w:rPr>
          <w:rFonts w:ascii="Arial" w:hAnsi="Arial" w:cs="Arial"/>
          <w:sz w:val="24"/>
          <w:szCs w:val="24"/>
        </w:rPr>
        <w:t xml:space="preserve"> emitió </w:t>
      </w:r>
      <w:r w:rsidR="008B05F9" w:rsidRPr="008B05F9">
        <w:rPr>
          <w:rFonts w:ascii="Arial" w:hAnsi="Arial" w:cs="Arial"/>
          <w:sz w:val="24"/>
          <w:szCs w:val="24"/>
        </w:rPr>
        <w:t>la resolución (TEEA-JDC-043/2021)</w:t>
      </w:r>
      <w:r w:rsidR="00463997" w:rsidRPr="008B05F9">
        <w:rPr>
          <w:rFonts w:ascii="Arial" w:hAnsi="Arial" w:cs="Arial"/>
          <w:sz w:val="24"/>
          <w:szCs w:val="24"/>
        </w:rPr>
        <w:t xml:space="preserve"> </w:t>
      </w:r>
      <w:r w:rsidR="008B05F9" w:rsidRPr="008B05F9">
        <w:rPr>
          <w:rFonts w:ascii="Arial" w:hAnsi="Arial" w:cs="Arial"/>
          <w:sz w:val="24"/>
          <w:szCs w:val="24"/>
        </w:rPr>
        <w:t>que ordenó</w:t>
      </w:r>
      <w:r w:rsidR="00463997" w:rsidRPr="008B05F9">
        <w:rPr>
          <w:rFonts w:ascii="Arial" w:hAnsi="Arial" w:cs="Arial"/>
          <w:sz w:val="24"/>
          <w:szCs w:val="24"/>
        </w:rPr>
        <w:t xml:space="preserve"> a la CNHJ del PES resolver conforme a Derecho </w:t>
      </w:r>
      <w:r w:rsidR="008B05F9" w:rsidRPr="008B05F9">
        <w:rPr>
          <w:rFonts w:ascii="Arial" w:hAnsi="Arial" w:cs="Arial"/>
          <w:sz w:val="24"/>
          <w:szCs w:val="24"/>
        </w:rPr>
        <w:t>los planteamientos del actor</w:t>
      </w:r>
      <w:r w:rsidR="00463997" w:rsidRPr="008B05F9">
        <w:rPr>
          <w:rFonts w:ascii="Arial" w:hAnsi="Arial" w:cs="Arial"/>
          <w:sz w:val="24"/>
          <w:szCs w:val="24"/>
        </w:rPr>
        <w:t>.</w:t>
      </w:r>
    </w:p>
    <w:p w14:paraId="47355FC9" w14:textId="77777777" w:rsidR="009343D5" w:rsidRPr="00C7240C" w:rsidRDefault="009343D5" w:rsidP="00C7240C">
      <w:pPr>
        <w:pStyle w:val="Sinespaciado"/>
      </w:pPr>
    </w:p>
    <w:p w14:paraId="60A946DF" w14:textId="1C1E4610" w:rsidR="00FE542B" w:rsidRPr="008B05F9" w:rsidRDefault="0013411D" w:rsidP="00297C25">
      <w:pPr>
        <w:widowControl w:val="0"/>
        <w:tabs>
          <w:tab w:val="left" w:pos="426"/>
        </w:tabs>
        <w:autoSpaceDE w:val="0"/>
        <w:autoSpaceDN w:val="0"/>
        <w:adjustRightInd w:val="0"/>
        <w:spacing w:line="360" w:lineRule="auto"/>
        <w:jc w:val="both"/>
        <w:rPr>
          <w:rFonts w:ascii="Arial" w:hAnsi="Arial" w:cs="Arial"/>
          <w:sz w:val="24"/>
          <w:szCs w:val="24"/>
        </w:rPr>
      </w:pPr>
      <w:r w:rsidRPr="008B05F9">
        <w:rPr>
          <w:rFonts w:ascii="Arial" w:hAnsi="Arial" w:cs="Arial"/>
          <w:b/>
          <w:sz w:val="24"/>
          <w:szCs w:val="24"/>
        </w:rPr>
        <w:t>6.</w:t>
      </w:r>
      <w:r w:rsidR="0040142B" w:rsidRPr="008B05F9">
        <w:rPr>
          <w:rFonts w:ascii="Arial" w:hAnsi="Arial" w:cs="Arial"/>
          <w:b/>
          <w:sz w:val="24"/>
          <w:szCs w:val="24"/>
        </w:rPr>
        <w:t xml:space="preserve"> </w:t>
      </w:r>
      <w:r w:rsidR="00E53713" w:rsidRPr="008B05F9">
        <w:rPr>
          <w:rFonts w:ascii="Arial" w:hAnsi="Arial" w:cs="Arial"/>
          <w:b/>
          <w:sz w:val="24"/>
          <w:szCs w:val="24"/>
        </w:rPr>
        <w:t>Resolución de la CNHJ</w:t>
      </w:r>
      <w:bookmarkStart w:id="4" w:name="_Hlk69151535"/>
      <w:r w:rsidR="00E53713" w:rsidRPr="008B05F9">
        <w:rPr>
          <w:rFonts w:ascii="Arial" w:hAnsi="Arial" w:cs="Arial"/>
          <w:b/>
          <w:sz w:val="24"/>
          <w:szCs w:val="24"/>
        </w:rPr>
        <w:t xml:space="preserve">. </w:t>
      </w:r>
      <w:r w:rsidR="00E53713" w:rsidRPr="008B05F9">
        <w:rPr>
          <w:rFonts w:ascii="Arial" w:hAnsi="Arial" w:cs="Arial"/>
          <w:sz w:val="24"/>
          <w:szCs w:val="24"/>
        </w:rPr>
        <w:t>A dicho del actor</w:t>
      </w:r>
      <w:r w:rsidR="008B05F9" w:rsidRPr="008B05F9">
        <w:rPr>
          <w:rFonts w:ascii="Arial" w:hAnsi="Arial" w:cs="Arial"/>
          <w:sz w:val="24"/>
          <w:szCs w:val="24"/>
        </w:rPr>
        <w:t>,</w:t>
      </w:r>
      <w:r w:rsidR="00E53713" w:rsidRPr="008B05F9">
        <w:rPr>
          <w:rFonts w:ascii="Arial" w:hAnsi="Arial" w:cs="Arial"/>
          <w:sz w:val="24"/>
          <w:szCs w:val="24"/>
        </w:rPr>
        <w:t xml:space="preserve"> el 28 de abril</w:t>
      </w:r>
      <w:r w:rsidR="008B05F9" w:rsidRPr="008B05F9">
        <w:rPr>
          <w:rFonts w:ascii="Arial" w:hAnsi="Arial" w:cs="Arial"/>
          <w:sz w:val="24"/>
          <w:szCs w:val="24"/>
        </w:rPr>
        <w:t>,</w:t>
      </w:r>
      <w:r w:rsidR="00E53713" w:rsidRPr="008B05F9">
        <w:rPr>
          <w:rFonts w:ascii="Arial" w:hAnsi="Arial" w:cs="Arial"/>
          <w:sz w:val="24"/>
          <w:szCs w:val="24"/>
        </w:rPr>
        <w:t xml:space="preserve"> el </w:t>
      </w:r>
      <w:proofErr w:type="gramStart"/>
      <w:r w:rsidR="00E53713" w:rsidRPr="008B05F9">
        <w:rPr>
          <w:rFonts w:ascii="Arial" w:hAnsi="Arial" w:cs="Arial"/>
          <w:sz w:val="24"/>
          <w:szCs w:val="24"/>
        </w:rPr>
        <w:t>Delegado</w:t>
      </w:r>
      <w:proofErr w:type="gramEnd"/>
      <w:r w:rsidR="00E53713" w:rsidRPr="008B05F9">
        <w:rPr>
          <w:rFonts w:ascii="Arial" w:hAnsi="Arial" w:cs="Arial"/>
          <w:sz w:val="24"/>
          <w:szCs w:val="24"/>
        </w:rPr>
        <w:t xml:space="preserve"> del PES, le notificó la resolución emitida</w:t>
      </w:r>
      <w:r w:rsidR="00297C25" w:rsidRPr="008B05F9">
        <w:rPr>
          <w:rFonts w:ascii="Arial" w:hAnsi="Arial" w:cs="Arial"/>
          <w:sz w:val="24"/>
          <w:szCs w:val="24"/>
        </w:rPr>
        <w:t xml:space="preserve"> por la CNHJ</w:t>
      </w:r>
      <w:r w:rsidR="007E1155">
        <w:rPr>
          <w:rFonts w:ascii="Arial" w:hAnsi="Arial" w:cs="Arial"/>
          <w:sz w:val="24"/>
          <w:szCs w:val="24"/>
        </w:rPr>
        <w:t>,</w:t>
      </w:r>
      <w:r w:rsidR="00297C25" w:rsidRPr="008B05F9">
        <w:rPr>
          <w:rFonts w:ascii="Arial" w:hAnsi="Arial" w:cs="Arial"/>
          <w:sz w:val="24"/>
          <w:szCs w:val="24"/>
        </w:rPr>
        <w:t xml:space="preserve"> </w:t>
      </w:r>
      <w:r w:rsidR="008B05F9" w:rsidRPr="008B05F9">
        <w:rPr>
          <w:rFonts w:ascii="Arial" w:hAnsi="Arial" w:cs="Arial"/>
          <w:sz w:val="24"/>
          <w:szCs w:val="24"/>
        </w:rPr>
        <w:t>dictada en cumplimiento al reencauzamiento referido en el punto anterior.</w:t>
      </w:r>
    </w:p>
    <w:p w14:paraId="0CBE245A" w14:textId="77777777" w:rsidR="00FE542B" w:rsidRPr="008B05F9" w:rsidRDefault="00FE542B" w:rsidP="00FE542B">
      <w:pPr>
        <w:pStyle w:val="Sinespaciado"/>
        <w:rPr>
          <w:sz w:val="24"/>
          <w:szCs w:val="24"/>
        </w:rPr>
      </w:pPr>
    </w:p>
    <w:p w14:paraId="17106114" w14:textId="68AAB9CD" w:rsidR="00FE542B" w:rsidRDefault="0013411D" w:rsidP="000511DB">
      <w:pPr>
        <w:pStyle w:val="Prrafodelista"/>
        <w:tabs>
          <w:tab w:val="left" w:pos="284"/>
        </w:tabs>
        <w:spacing w:line="360" w:lineRule="auto"/>
        <w:ind w:left="0"/>
        <w:jc w:val="both"/>
        <w:rPr>
          <w:rFonts w:ascii="Arial" w:hAnsi="Arial" w:cs="Arial"/>
          <w:bCs/>
          <w:sz w:val="24"/>
          <w:szCs w:val="24"/>
        </w:rPr>
      </w:pPr>
      <w:r w:rsidRPr="008B05F9">
        <w:rPr>
          <w:rFonts w:ascii="Arial" w:hAnsi="Arial" w:cs="Arial"/>
          <w:b/>
          <w:bCs/>
          <w:sz w:val="24"/>
          <w:szCs w:val="24"/>
        </w:rPr>
        <w:t>7</w:t>
      </w:r>
      <w:r w:rsidR="000511DB" w:rsidRPr="008B05F9">
        <w:rPr>
          <w:rFonts w:ascii="Arial" w:hAnsi="Arial" w:cs="Arial"/>
          <w:b/>
          <w:bCs/>
          <w:sz w:val="24"/>
          <w:szCs w:val="24"/>
        </w:rPr>
        <w:t xml:space="preserve">. </w:t>
      </w:r>
      <w:r w:rsidR="00905372">
        <w:rPr>
          <w:rFonts w:ascii="Arial" w:hAnsi="Arial" w:cs="Arial"/>
          <w:b/>
          <w:bCs/>
          <w:sz w:val="24"/>
          <w:szCs w:val="24"/>
        </w:rPr>
        <w:t>J</w:t>
      </w:r>
      <w:r w:rsidR="002E6F31" w:rsidRPr="008B05F9">
        <w:rPr>
          <w:rFonts w:ascii="Arial" w:hAnsi="Arial" w:cs="Arial"/>
          <w:b/>
          <w:bCs/>
          <w:sz w:val="24"/>
          <w:szCs w:val="24"/>
        </w:rPr>
        <w:t xml:space="preserve">uicio </w:t>
      </w:r>
      <w:r w:rsidR="0099118F" w:rsidRPr="008B05F9">
        <w:rPr>
          <w:rFonts w:ascii="Arial" w:hAnsi="Arial" w:cs="Arial"/>
          <w:b/>
          <w:bCs/>
          <w:sz w:val="24"/>
          <w:szCs w:val="24"/>
        </w:rPr>
        <w:t>c</w:t>
      </w:r>
      <w:r w:rsidR="002E6F31" w:rsidRPr="008B05F9">
        <w:rPr>
          <w:rFonts w:ascii="Arial" w:hAnsi="Arial" w:cs="Arial"/>
          <w:b/>
          <w:bCs/>
          <w:sz w:val="24"/>
          <w:szCs w:val="24"/>
        </w:rPr>
        <w:t xml:space="preserve">iudadano. </w:t>
      </w:r>
      <w:r w:rsidR="008B05F9" w:rsidRPr="008B05F9">
        <w:rPr>
          <w:rFonts w:ascii="Arial" w:hAnsi="Arial" w:cs="Arial"/>
          <w:sz w:val="24"/>
          <w:szCs w:val="24"/>
        </w:rPr>
        <w:t xml:space="preserve">Inconforme, </w:t>
      </w:r>
      <w:r w:rsidR="008B05F9" w:rsidRPr="008B05F9">
        <w:rPr>
          <w:rFonts w:ascii="Arial" w:hAnsi="Arial" w:cs="Arial"/>
          <w:bCs/>
          <w:sz w:val="24"/>
          <w:szCs w:val="24"/>
        </w:rPr>
        <w:t>e</w:t>
      </w:r>
      <w:r w:rsidR="00DB5E91" w:rsidRPr="008B05F9">
        <w:rPr>
          <w:rFonts w:ascii="Arial" w:hAnsi="Arial" w:cs="Arial"/>
          <w:bCs/>
          <w:sz w:val="24"/>
          <w:szCs w:val="24"/>
        </w:rPr>
        <w:t xml:space="preserve">l </w:t>
      </w:r>
      <w:r w:rsidR="00742288" w:rsidRPr="008B05F9">
        <w:rPr>
          <w:rFonts w:ascii="Arial" w:hAnsi="Arial" w:cs="Arial"/>
          <w:bCs/>
          <w:sz w:val="24"/>
          <w:szCs w:val="24"/>
        </w:rPr>
        <w:t>5 de mayo</w:t>
      </w:r>
      <w:bookmarkEnd w:id="4"/>
      <w:r w:rsidR="008B05F9" w:rsidRPr="008B05F9">
        <w:rPr>
          <w:rFonts w:ascii="Arial" w:hAnsi="Arial" w:cs="Arial"/>
          <w:bCs/>
          <w:sz w:val="24"/>
          <w:szCs w:val="24"/>
        </w:rPr>
        <w:t xml:space="preserve">, </w:t>
      </w:r>
      <w:r w:rsidR="00905372">
        <w:rPr>
          <w:rFonts w:ascii="Arial" w:hAnsi="Arial" w:cs="Arial"/>
          <w:bCs/>
          <w:sz w:val="24"/>
          <w:szCs w:val="24"/>
        </w:rPr>
        <w:t>el</w:t>
      </w:r>
      <w:r w:rsidR="008B05F9" w:rsidRPr="008B05F9">
        <w:rPr>
          <w:rFonts w:ascii="Arial" w:hAnsi="Arial" w:cs="Arial"/>
          <w:bCs/>
          <w:sz w:val="24"/>
          <w:szCs w:val="24"/>
        </w:rPr>
        <w:t xml:space="preserve"> recurrente promovió el</w:t>
      </w:r>
      <w:r w:rsidR="00905372">
        <w:rPr>
          <w:rFonts w:ascii="Arial" w:hAnsi="Arial" w:cs="Arial"/>
          <w:bCs/>
          <w:sz w:val="24"/>
          <w:szCs w:val="24"/>
        </w:rPr>
        <w:t xml:space="preserve"> presente</w:t>
      </w:r>
      <w:r w:rsidR="008B05F9" w:rsidRPr="008B05F9">
        <w:rPr>
          <w:rFonts w:ascii="Arial" w:hAnsi="Arial" w:cs="Arial"/>
          <w:bCs/>
          <w:sz w:val="24"/>
          <w:szCs w:val="24"/>
        </w:rPr>
        <w:t xml:space="preserve"> juicio ciudadano</w:t>
      </w:r>
      <w:r w:rsidR="00905372">
        <w:rPr>
          <w:rFonts w:ascii="Arial" w:hAnsi="Arial" w:cs="Arial"/>
          <w:bCs/>
          <w:sz w:val="24"/>
          <w:szCs w:val="24"/>
        </w:rPr>
        <w:t xml:space="preserve">, al considerar que la resolución de la CNHJ no se encontraba </w:t>
      </w:r>
      <w:r w:rsidR="00C91F5B">
        <w:rPr>
          <w:rFonts w:ascii="Arial" w:hAnsi="Arial" w:cs="Arial"/>
          <w:bCs/>
          <w:sz w:val="24"/>
          <w:szCs w:val="24"/>
        </w:rPr>
        <w:t>correctamente</w:t>
      </w:r>
      <w:r w:rsidR="00905372">
        <w:rPr>
          <w:rFonts w:ascii="Arial" w:hAnsi="Arial" w:cs="Arial"/>
          <w:bCs/>
          <w:sz w:val="24"/>
          <w:szCs w:val="24"/>
        </w:rPr>
        <w:t xml:space="preserve"> fundada y motivada y, por tanto, </w:t>
      </w:r>
      <w:r w:rsidR="00C91F5B">
        <w:rPr>
          <w:rFonts w:ascii="Arial" w:hAnsi="Arial" w:cs="Arial"/>
          <w:bCs/>
          <w:sz w:val="24"/>
          <w:szCs w:val="24"/>
        </w:rPr>
        <w:t xml:space="preserve">se </w:t>
      </w:r>
      <w:r w:rsidR="00905372">
        <w:rPr>
          <w:rFonts w:ascii="Arial" w:hAnsi="Arial" w:cs="Arial"/>
          <w:bCs/>
          <w:sz w:val="24"/>
          <w:szCs w:val="24"/>
        </w:rPr>
        <w:t>vulneró su derecho político-electoral a ser votado.</w:t>
      </w:r>
    </w:p>
    <w:bookmarkEnd w:id="3"/>
    <w:p w14:paraId="62A0DEA5" w14:textId="77777777" w:rsidR="0099118F" w:rsidRPr="008B05F9" w:rsidRDefault="0099118F" w:rsidP="00302B86">
      <w:pPr>
        <w:pStyle w:val="Sinespaciado"/>
        <w:rPr>
          <w:sz w:val="24"/>
          <w:szCs w:val="24"/>
        </w:rPr>
      </w:pPr>
    </w:p>
    <w:p w14:paraId="31352EB3" w14:textId="54BE15A0" w:rsidR="003B3C97" w:rsidRPr="008B05F9" w:rsidRDefault="0013411D" w:rsidP="0013411D">
      <w:pPr>
        <w:tabs>
          <w:tab w:val="left" w:pos="0"/>
          <w:tab w:val="left" w:pos="426"/>
        </w:tabs>
        <w:spacing w:line="360" w:lineRule="auto"/>
        <w:jc w:val="both"/>
        <w:rPr>
          <w:rFonts w:ascii="Arial" w:hAnsi="Arial" w:cs="Arial"/>
          <w:sz w:val="24"/>
          <w:szCs w:val="24"/>
        </w:rPr>
      </w:pPr>
      <w:r w:rsidRPr="008B05F9">
        <w:rPr>
          <w:rFonts w:ascii="Arial" w:hAnsi="Arial" w:cs="Arial"/>
          <w:b/>
          <w:bCs/>
          <w:sz w:val="24"/>
          <w:szCs w:val="24"/>
        </w:rPr>
        <w:t>8. Turno</w:t>
      </w:r>
      <w:r w:rsidR="009624EA" w:rsidRPr="008B05F9">
        <w:rPr>
          <w:rFonts w:ascii="Arial" w:hAnsi="Arial" w:cs="Arial"/>
          <w:b/>
          <w:bCs/>
          <w:sz w:val="24"/>
          <w:szCs w:val="24"/>
        </w:rPr>
        <w:t xml:space="preserve"> y radicación. </w:t>
      </w:r>
      <w:r w:rsidR="00A829EB" w:rsidRPr="008B05F9">
        <w:rPr>
          <w:rFonts w:ascii="Arial" w:hAnsi="Arial" w:cs="Arial"/>
          <w:sz w:val="24"/>
          <w:szCs w:val="24"/>
        </w:rPr>
        <w:t xml:space="preserve">El </w:t>
      </w:r>
      <w:r w:rsidR="008B05F9" w:rsidRPr="008B05F9">
        <w:rPr>
          <w:rFonts w:ascii="Arial" w:hAnsi="Arial" w:cs="Arial"/>
          <w:sz w:val="24"/>
          <w:szCs w:val="24"/>
        </w:rPr>
        <w:t>5 de mayo</w:t>
      </w:r>
      <w:r w:rsidR="00822A3C" w:rsidRPr="008B05F9">
        <w:rPr>
          <w:rFonts w:ascii="Arial" w:hAnsi="Arial" w:cs="Arial"/>
          <w:sz w:val="24"/>
          <w:szCs w:val="24"/>
        </w:rPr>
        <w:t xml:space="preserve">, </w:t>
      </w:r>
      <w:r w:rsidR="00A829EB" w:rsidRPr="008B05F9">
        <w:rPr>
          <w:rFonts w:ascii="Arial" w:hAnsi="Arial" w:cs="Arial"/>
          <w:sz w:val="24"/>
          <w:szCs w:val="24"/>
        </w:rPr>
        <w:t>s</w:t>
      </w:r>
      <w:r w:rsidR="008B05F9" w:rsidRPr="008B05F9">
        <w:rPr>
          <w:rFonts w:ascii="Arial" w:hAnsi="Arial" w:cs="Arial"/>
          <w:sz w:val="24"/>
          <w:szCs w:val="24"/>
        </w:rPr>
        <w:t>e recibió el presente</w:t>
      </w:r>
      <w:r w:rsidR="00A829EB" w:rsidRPr="008B05F9">
        <w:rPr>
          <w:rFonts w:ascii="Arial" w:hAnsi="Arial" w:cs="Arial"/>
          <w:sz w:val="24"/>
          <w:szCs w:val="24"/>
        </w:rPr>
        <w:t xml:space="preserve"> juicio</w:t>
      </w:r>
      <w:r w:rsidR="008B05F9" w:rsidRPr="008B05F9">
        <w:rPr>
          <w:rFonts w:ascii="Arial" w:hAnsi="Arial" w:cs="Arial"/>
          <w:sz w:val="24"/>
          <w:szCs w:val="24"/>
        </w:rPr>
        <w:t xml:space="preserve"> ciudadano, el cual</w:t>
      </w:r>
      <w:r w:rsidR="00054D63" w:rsidRPr="008B05F9">
        <w:rPr>
          <w:rFonts w:ascii="Arial" w:hAnsi="Arial" w:cs="Arial"/>
          <w:sz w:val="24"/>
          <w:szCs w:val="24"/>
        </w:rPr>
        <w:t xml:space="preserve"> fue turnado a la Ponen</w:t>
      </w:r>
      <w:r w:rsidR="006944F2" w:rsidRPr="008B05F9">
        <w:rPr>
          <w:rFonts w:ascii="Arial" w:hAnsi="Arial" w:cs="Arial"/>
          <w:sz w:val="24"/>
          <w:szCs w:val="24"/>
        </w:rPr>
        <w:t>cia de la Magistrada Laura Hortensia Llamas Hernández</w:t>
      </w:r>
      <w:r w:rsidR="00054D63" w:rsidRPr="008B05F9">
        <w:rPr>
          <w:rFonts w:ascii="Arial" w:hAnsi="Arial" w:cs="Arial"/>
          <w:sz w:val="24"/>
          <w:szCs w:val="24"/>
        </w:rPr>
        <w:t>, quien en su oportunidad</w:t>
      </w:r>
      <w:r w:rsidR="003B3C97" w:rsidRPr="008B05F9">
        <w:rPr>
          <w:rFonts w:ascii="Arial" w:hAnsi="Arial" w:cs="Arial"/>
          <w:sz w:val="24"/>
          <w:szCs w:val="24"/>
        </w:rPr>
        <w:t xml:space="preserve"> lo</w:t>
      </w:r>
      <w:r w:rsidR="00054D63" w:rsidRPr="008B05F9">
        <w:rPr>
          <w:rFonts w:ascii="Arial" w:hAnsi="Arial" w:cs="Arial"/>
          <w:sz w:val="24"/>
          <w:szCs w:val="24"/>
        </w:rPr>
        <w:t xml:space="preserve"> radicó</w:t>
      </w:r>
      <w:r w:rsidR="009624EA" w:rsidRPr="008B05F9">
        <w:rPr>
          <w:rFonts w:ascii="Arial" w:hAnsi="Arial" w:cs="Arial"/>
          <w:sz w:val="24"/>
          <w:szCs w:val="24"/>
        </w:rPr>
        <w:t>.</w:t>
      </w:r>
    </w:p>
    <w:p w14:paraId="15CDEA55" w14:textId="77777777" w:rsidR="008B05F9" w:rsidRPr="00FA162C" w:rsidRDefault="008B05F9" w:rsidP="00FA162C">
      <w:pPr>
        <w:pStyle w:val="Sinespaciado"/>
      </w:pPr>
    </w:p>
    <w:p w14:paraId="33E21B47" w14:textId="5952B0E1" w:rsidR="00054D63" w:rsidRPr="008B05F9" w:rsidRDefault="00054D63" w:rsidP="005C7ACD">
      <w:pPr>
        <w:pStyle w:val="Ttulo1"/>
        <w:numPr>
          <w:ilvl w:val="0"/>
          <w:numId w:val="2"/>
        </w:numPr>
        <w:spacing w:before="0" w:beforeAutospacing="0" w:after="0" w:afterAutospacing="0"/>
        <w:ind w:left="426" w:hanging="426"/>
        <w:jc w:val="left"/>
        <w:rPr>
          <w:rFonts w:eastAsia="BatangChe" w:cs="Arial"/>
          <w:szCs w:val="24"/>
        </w:rPr>
      </w:pPr>
      <w:bookmarkStart w:id="5" w:name="_Toc71637780"/>
      <w:r w:rsidRPr="008B05F9">
        <w:rPr>
          <w:rFonts w:eastAsia="Times New Roman" w:cs="Arial"/>
          <w:szCs w:val="24"/>
        </w:rPr>
        <w:t>C</w:t>
      </w:r>
      <w:r w:rsidR="00371850" w:rsidRPr="008B05F9">
        <w:rPr>
          <w:rFonts w:eastAsia="Times New Roman" w:cs="Arial"/>
          <w:caps w:val="0"/>
          <w:szCs w:val="24"/>
        </w:rPr>
        <w:t>ompetencia</w:t>
      </w:r>
      <w:bookmarkEnd w:id="5"/>
      <w:r w:rsidR="00371850" w:rsidRPr="008B05F9">
        <w:rPr>
          <w:rFonts w:eastAsia="Times New Roman" w:cs="Arial"/>
          <w:caps w:val="0"/>
          <w:szCs w:val="24"/>
        </w:rPr>
        <w:t xml:space="preserve"> </w:t>
      </w:r>
    </w:p>
    <w:p w14:paraId="043D2F0A" w14:textId="77777777" w:rsidR="00054D63" w:rsidRPr="00C7240C" w:rsidRDefault="00054D63" w:rsidP="00C7240C">
      <w:pPr>
        <w:pStyle w:val="Sinespaciado"/>
      </w:pPr>
    </w:p>
    <w:p w14:paraId="1BC1EF42" w14:textId="1735790C" w:rsidR="00054D63" w:rsidRPr="008B05F9" w:rsidRDefault="00054D63" w:rsidP="00064E24">
      <w:pPr>
        <w:spacing w:line="360" w:lineRule="auto"/>
        <w:jc w:val="both"/>
        <w:rPr>
          <w:rFonts w:ascii="Arial" w:hAnsi="Arial" w:cs="Arial"/>
          <w:sz w:val="24"/>
          <w:szCs w:val="24"/>
          <w:lang w:val="es-ES_tradnl"/>
        </w:rPr>
      </w:pPr>
      <w:r w:rsidRPr="008B05F9">
        <w:rPr>
          <w:rFonts w:ascii="Arial" w:hAnsi="Arial" w:cs="Arial"/>
          <w:sz w:val="24"/>
          <w:szCs w:val="24"/>
          <w:lang w:val="es-ES_tradnl"/>
        </w:rPr>
        <w:t>Este Tribunal es competente para conocer y resolve</w:t>
      </w:r>
      <w:r w:rsidR="006150D4" w:rsidRPr="008B05F9">
        <w:rPr>
          <w:rFonts w:ascii="Arial" w:hAnsi="Arial" w:cs="Arial"/>
          <w:sz w:val="24"/>
          <w:szCs w:val="24"/>
          <w:lang w:val="es-ES_tradnl"/>
        </w:rPr>
        <w:t>r el</w:t>
      </w:r>
      <w:r w:rsidR="00957FA4" w:rsidRPr="008B05F9">
        <w:rPr>
          <w:rFonts w:ascii="Arial" w:hAnsi="Arial" w:cs="Arial"/>
          <w:sz w:val="24"/>
          <w:szCs w:val="24"/>
          <w:lang w:val="es-ES_tradnl"/>
        </w:rPr>
        <w:t xml:space="preserve"> presente </w:t>
      </w:r>
      <w:r w:rsidR="00C7240C">
        <w:rPr>
          <w:rFonts w:ascii="Arial" w:hAnsi="Arial" w:cs="Arial"/>
          <w:sz w:val="24"/>
          <w:szCs w:val="24"/>
          <w:lang w:val="es-ES_tradnl"/>
        </w:rPr>
        <w:t>asunto</w:t>
      </w:r>
      <w:r w:rsidR="00957FA4" w:rsidRPr="008B05F9">
        <w:rPr>
          <w:rFonts w:ascii="Arial" w:hAnsi="Arial" w:cs="Arial"/>
          <w:sz w:val="24"/>
          <w:szCs w:val="24"/>
          <w:lang w:val="es-ES_tradnl"/>
        </w:rPr>
        <w:t>,</w:t>
      </w:r>
      <w:r w:rsidR="008051B8" w:rsidRPr="008B05F9">
        <w:rPr>
          <w:rFonts w:ascii="Arial" w:hAnsi="Arial" w:cs="Arial"/>
          <w:sz w:val="24"/>
          <w:szCs w:val="24"/>
          <w:lang w:val="es-ES_tradnl"/>
        </w:rPr>
        <w:t xml:space="preserve"> por tratarse de un </w:t>
      </w:r>
      <w:r w:rsidR="00C7240C">
        <w:rPr>
          <w:rFonts w:ascii="Arial" w:hAnsi="Arial" w:cs="Arial"/>
          <w:sz w:val="24"/>
          <w:szCs w:val="24"/>
          <w:lang w:val="es-ES_tradnl"/>
        </w:rPr>
        <w:t>medio de impugnación</w:t>
      </w:r>
      <w:r w:rsidR="0099118F" w:rsidRPr="008B05F9">
        <w:rPr>
          <w:rFonts w:ascii="Arial" w:hAnsi="Arial" w:cs="Arial"/>
          <w:sz w:val="24"/>
          <w:szCs w:val="24"/>
          <w:lang w:val="es-ES_tradnl"/>
        </w:rPr>
        <w:t xml:space="preserve"> </w:t>
      </w:r>
      <w:r w:rsidR="00CA2668" w:rsidRPr="008B05F9">
        <w:rPr>
          <w:rFonts w:ascii="Arial" w:hAnsi="Arial" w:cs="Arial"/>
          <w:sz w:val="24"/>
          <w:szCs w:val="24"/>
          <w:lang w:val="es-ES_tradnl"/>
        </w:rPr>
        <w:t>promovido</w:t>
      </w:r>
      <w:r w:rsidR="00D14280" w:rsidRPr="008B05F9">
        <w:rPr>
          <w:rFonts w:ascii="Arial" w:hAnsi="Arial" w:cs="Arial"/>
          <w:sz w:val="24"/>
          <w:szCs w:val="24"/>
          <w:lang w:val="es-ES_tradnl"/>
        </w:rPr>
        <w:t xml:space="preserve"> por</w:t>
      </w:r>
      <w:r w:rsidR="008051B8" w:rsidRPr="008B05F9">
        <w:rPr>
          <w:rFonts w:ascii="Arial" w:hAnsi="Arial" w:cs="Arial"/>
          <w:sz w:val="24"/>
          <w:szCs w:val="24"/>
          <w:lang w:val="es-ES_tradnl"/>
        </w:rPr>
        <w:t xml:space="preserve"> un ciudadano</w:t>
      </w:r>
      <w:r w:rsidR="00957FA4" w:rsidRPr="008B05F9">
        <w:rPr>
          <w:rFonts w:ascii="Arial" w:hAnsi="Arial" w:cs="Arial"/>
          <w:sz w:val="24"/>
          <w:szCs w:val="24"/>
          <w:lang w:val="es-ES_tradnl"/>
        </w:rPr>
        <w:t xml:space="preserve"> en su carácter de</w:t>
      </w:r>
      <w:r w:rsidR="008051B8" w:rsidRPr="008B05F9">
        <w:rPr>
          <w:rFonts w:ascii="Arial" w:hAnsi="Arial" w:cs="Arial"/>
          <w:sz w:val="24"/>
          <w:szCs w:val="24"/>
          <w:lang w:val="es-ES_tradnl"/>
        </w:rPr>
        <w:t xml:space="preserve"> aspirante</w:t>
      </w:r>
      <w:r w:rsidR="00AF7B9D" w:rsidRPr="008B05F9">
        <w:rPr>
          <w:rFonts w:ascii="Arial" w:hAnsi="Arial" w:cs="Arial"/>
          <w:sz w:val="24"/>
          <w:szCs w:val="24"/>
          <w:lang w:val="es-ES_tradnl"/>
        </w:rPr>
        <w:t xml:space="preserve"> a </w:t>
      </w:r>
      <w:r w:rsidR="008051B8" w:rsidRPr="008B05F9">
        <w:rPr>
          <w:rFonts w:ascii="Arial" w:hAnsi="Arial" w:cs="Arial"/>
          <w:sz w:val="24"/>
          <w:szCs w:val="24"/>
          <w:lang w:val="es-ES_tradnl"/>
        </w:rPr>
        <w:t>un</w:t>
      </w:r>
      <w:r w:rsidR="008B05F9" w:rsidRPr="008B05F9">
        <w:rPr>
          <w:rFonts w:ascii="Arial" w:hAnsi="Arial" w:cs="Arial"/>
          <w:sz w:val="24"/>
          <w:szCs w:val="24"/>
          <w:lang w:val="es-ES_tradnl"/>
        </w:rPr>
        <w:t>a candidatura a</w:t>
      </w:r>
      <w:r w:rsidR="008051B8" w:rsidRPr="008B05F9">
        <w:rPr>
          <w:rFonts w:ascii="Arial" w:hAnsi="Arial" w:cs="Arial"/>
          <w:sz w:val="24"/>
          <w:szCs w:val="24"/>
          <w:lang w:val="es-ES_tradnl"/>
        </w:rPr>
        <w:t xml:space="preserve"> Diputación Local </w:t>
      </w:r>
      <w:r w:rsidR="0032748A" w:rsidRPr="008B05F9">
        <w:rPr>
          <w:rFonts w:ascii="Arial" w:hAnsi="Arial" w:cs="Arial"/>
          <w:bCs/>
          <w:sz w:val="24"/>
          <w:szCs w:val="24"/>
        </w:rPr>
        <w:t xml:space="preserve">de Aguascalientes, </w:t>
      </w:r>
      <w:r w:rsidR="00AF7B9D" w:rsidRPr="008B05F9">
        <w:rPr>
          <w:rFonts w:ascii="Arial" w:hAnsi="Arial" w:cs="Arial"/>
          <w:bCs/>
          <w:sz w:val="24"/>
          <w:szCs w:val="24"/>
        </w:rPr>
        <w:t xml:space="preserve">en contra de </w:t>
      </w:r>
      <w:r w:rsidR="008B05F9" w:rsidRPr="008B05F9">
        <w:rPr>
          <w:rFonts w:ascii="Arial" w:hAnsi="Arial" w:cs="Arial"/>
          <w:bCs/>
          <w:sz w:val="24"/>
          <w:szCs w:val="24"/>
        </w:rPr>
        <w:t>una</w:t>
      </w:r>
      <w:r w:rsidR="00AF7B9D" w:rsidRPr="008B05F9">
        <w:rPr>
          <w:rFonts w:ascii="Arial" w:hAnsi="Arial" w:cs="Arial"/>
          <w:bCs/>
          <w:sz w:val="24"/>
          <w:szCs w:val="24"/>
        </w:rPr>
        <w:t xml:space="preserve"> resolución </w:t>
      </w:r>
      <w:r w:rsidR="008B05F9" w:rsidRPr="008B05F9">
        <w:rPr>
          <w:rFonts w:ascii="Arial" w:hAnsi="Arial" w:cs="Arial"/>
          <w:bCs/>
          <w:sz w:val="24"/>
          <w:szCs w:val="24"/>
        </w:rPr>
        <w:t>partidista</w:t>
      </w:r>
      <w:r w:rsidR="00C7240C">
        <w:rPr>
          <w:rFonts w:ascii="Arial" w:hAnsi="Arial" w:cs="Arial"/>
          <w:bCs/>
          <w:sz w:val="24"/>
          <w:szCs w:val="24"/>
        </w:rPr>
        <w:t xml:space="preserve">, </w:t>
      </w:r>
      <w:proofErr w:type="gramStart"/>
      <w:r w:rsidR="00C7240C">
        <w:rPr>
          <w:rFonts w:ascii="Arial" w:hAnsi="Arial" w:cs="Arial"/>
          <w:bCs/>
          <w:sz w:val="24"/>
          <w:szCs w:val="24"/>
        </w:rPr>
        <w:t>que</w:t>
      </w:r>
      <w:proofErr w:type="gramEnd"/>
      <w:r w:rsidR="00C7240C">
        <w:rPr>
          <w:rFonts w:ascii="Arial" w:hAnsi="Arial" w:cs="Arial"/>
          <w:bCs/>
          <w:sz w:val="24"/>
          <w:szCs w:val="24"/>
        </w:rPr>
        <w:t xml:space="preserve"> a su parecer, vulneró su derecho político-electoral a ser votado</w:t>
      </w:r>
      <w:r w:rsidR="00FF57CD" w:rsidRPr="008B05F9">
        <w:rPr>
          <w:rFonts w:ascii="Arial" w:hAnsi="Arial" w:cs="Arial"/>
          <w:bCs/>
          <w:sz w:val="24"/>
          <w:szCs w:val="24"/>
        </w:rPr>
        <w:t>.</w:t>
      </w:r>
      <w:r w:rsidR="0032748A" w:rsidRPr="008B05F9">
        <w:rPr>
          <w:rFonts w:ascii="Arial" w:hAnsi="Arial" w:cs="Arial"/>
          <w:bCs/>
          <w:sz w:val="24"/>
          <w:szCs w:val="24"/>
        </w:rPr>
        <w:t xml:space="preserve"> </w:t>
      </w:r>
      <w:r w:rsidR="00064E24" w:rsidRPr="008B05F9">
        <w:rPr>
          <w:rFonts w:ascii="Arial" w:hAnsi="Arial" w:cs="Arial"/>
          <w:sz w:val="24"/>
          <w:szCs w:val="24"/>
          <w:lang w:val="es-ES_tradnl"/>
        </w:rPr>
        <w:t>Esto</w:t>
      </w:r>
      <w:r w:rsidR="005F574E" w:rsidRPr="008B05F9">
        <w:rPr>
          <w:rFonts w:ascii="Arial" w:hAnsi="Arial" w:cs="Arial"/>
          <w:sz w:val="24"/>
          <w:szCs w:val="24"/>
          <w:lang w:val="es-ES_tradnl"/>
        </w:rPr>
        <w:t>,</w:t>
      </w:r>
      <w:r w:rsidRPr="008B05F9">
        <w:rPr>
          <w:rFonts w:ascii="Arial" w:hAnsi="Arial" w:cs="Arial"/>
          <w:sz w:val="24"/>
          <w:szCs w:val="24"/>
          <w:lang w:val="es-ES_tradnl"/>
        </w:rPr>
        <w:t xml:space="preserve"> de conformidad con los </w:t>
      </w:r>
      <w:bookmarkStart w:id="6" w:name="_Hlk64916181"/>
      <w:r w:rsidR="004C5682" w:rsidRPr="008B05F9">
        <w:rPr>
          <w:rFonts w:ascii="Arial" w:hAnsi="Arial" w:cs="Arial"/>
          <w:sz w:val="24"/>
          <w:szCs w:val="24"/>
          <w:lang w:val="es-ES_tradnl"/>
        </w:rPr>
        <w:t xml:space="preserve">artículos </w:t>
      </w:r>
      <w:r w:rsidR="008016C8" w:rsidRPr="008B05F9">
        <w:rPr>
          <w:rFonts w:ascii="Arial" w:hAnsi="Arial" w:cs="Arial"/>
          <w:sz w:val="24"/>
          <w:szCs w:val="24"/>
        </w:rPr>
        <w:t>1</w:t>
      </w:r>
      <w:r w:rsidR="006D421A" w:rsidRPr="008B05F9">
        <w:rPr>
          <w:rFonts w:ascii="Arial" w:hAnsi="Arial" w:cs="Arial"/>
          <w:sz w:val="24"/>
          <w:szCs w:val="24"/>
        </w:rPr>
        <w:t>°</w:t>
      </w:r>
      <w:r w:rsidR="008016C8" w:rsidRPr="008B05F9">
        <w:rPr>
          <w:rFonts w:ascii="Arial" w:hAnsi="Arial" w:cs="Arial"/>
          <w:sz w:val="24"/>
          <w:szCs w:val="24"/>
        </w:rPr>
        <w:t>, 2</w:t>
      </w:r>
      <w:r w:rsidR="006D421A" w:rsidRPr="008B05F9">
        <w:rPr>
          <w:rFonts w:ascii="Arial" w:hAnsi="Arial" w:cs="Arial"/>
          <w:sz w:val="24"/>
          <w:szCs w:val="24"/>
        </w:rPr>
        <w:t>°</w:t>
      </w:r>
      <w:r w:rsidR="008016C8" w:rsidRPr="008B05F9">
        <w:rPr>
          <w:rFonts w:ascii="Arial" w:hAnsi="Arial" w:cs="Arial"/>
          <w:sz w:val="24"/>
          <w:szCs w:val="24"/>
        </w:rPr>
        <w:t>, 9</w:t>
      </w:r>
      <w:r w:rsidR="006D421A" w:rsidRPr="008B05F9">
        <w:rPr>
          <w:rFonts w:ascii="Arial" w:hAnsi="Arial" w:cs="Arial"/>
          <w:sz w:val="24"/>
          <w:szCs w:val="24"/>
        </w:rPr>
        <w:t>°</w:t>
      </w:r>
      <w:r w:rsidR="008016C8" w:rsidRPr="008B05F9">
        <w:rPr>
          <w:rFonts w:ascii="Arial" w:hAnsi="Arial" w:cs="Arial"/>
          <w:sz w:val="24"/>
          <w:szCs w:val="24"/>
        </w:rPr>
        <w:t xml:space="preserve"> y 10, fracción, IV, 12 y 13 de los Lineamientos y 9</w:t>
      </w:r>
      <w:r w:rsidR="008B68CA" w:rsidRPr="008B05F9">
        <w:rPr>
          <w:rFonts w:ascii="Arial" w:hAnsi="Arial" w:cs="Arial"/>
          <w:sz w:val="24"/>
          <w:szCs w:val="24"/>
        </w:rPr>
        <w:t>°</w:t>
      </w:r>
      <w:r w:rsidR="008016C8" w:rsidRPr="008B05F9">
        <w:rPr>
          <w:rFonts w:ascii="Arial" w:hAnsi="Arial" w:cs="Arial"/>
          <w:sz w:val="24"/>
          <w:szCs w:val="24"/>
        </w:rPr>
        <w:t xml:space="preserve"> del Reglamento Interior.</w:t>
      </w:r>
    </w:p>
    <w:p w14:paraId="002204B2" w14:textId="77777777" w:rsidR="008B68CA" w:rsidRPr="008B05F9" w:rsidRDefault="008B68CA" w:rsidP="008B05F9">
      <w:pPr>
        <w:pStyle w:val="Sinespaciado"/>
        <w:rPr>
          <w:sz w:val="24"/>
          <w:szCs w:val="24"/>
        </w:rPr>
      </w:pPr>
    </w:p>
    <w:p w14:paraId="06C3EDAB" w14:textId="365ADAE4" w:rsidR="0032748A" w:rsidRPr="008B05F9" w:rsidRDefault="0032748A" w:rsidP="0032748A">
      <w:pPr>
        <w:tabs>
          <w:tab w:val="left" w:pos="426"/>
        </w:tabs>
        <w:spacing w:line="360" w:lineRule="auto"/>
        <w:jc w:val="both"/>
        <w:rPr>
          <w:rFonts w:ascii="Arial" w:hAnsi="Arial" w:cs="Arial"/>
          <w:b/>
          <w:bCs/>
          <w:sz w:val="24"/>
          <w:szCs w:val="24"/>
        </w:rPr>
      </w:pPr>
      <w:r w:rsidRPr="008B05F9">
        <w:rPr>
          <w:rFonts w:ascii="Arial" w:hAnsi="Arial" w:cs="Arial"/>
          <w:b/>
          <w:bCs/>
          <w:sz w:val="24"/>
          <w:szCs w:val="24"/>
        </w:rPr>
        <w:t xml:space="preserve">Cuestión previa. </w:t>
      </w:r>
      <w:r w:rsidRPr="008B05F9">
        <w:rPr>
          <w:rFonts w:ascii="Arial" w:hAnsi="Arial" w:cs="Arial"/>
          <w:b/>
          <w:bCs/>
          <w:sz w:val="24"/>
          <w:szCs w:val="24"/>
          <w:u w:val="single"/>
        </w:rPr>
        <w:t>Precisión del acto impugnado</w:t>
      </w:r>
      <w:r w:rsidRPr="008B05F9">
        <w:rPr>
          <w:rFonts w:ascii="Arial" w:hAnsi="Arial" w:cs="Arial"/>
          <w:b/>
          <w:bCs/>
          <w:sz w:val="24"/>
          <w:szCs w:val="24"/>
        </w:rPr>
        <w:t xml:space="preserve"> </w:t>
      </w:r>
    </w:p>
    <w:p w14:paraId="25816D33" w14:textId="77777777" w:rsidR="0032748A" w:rsidRPr="008B05F9" w:rsidRDefault="0032748A" w:rsidP="008B05F9">
      <w:pPr>
        <w:pStyle w:val="Sinespaciado"/>
        <w:rPr>
          <w:sz w:val="24"/>
          <w:szCs w:val="24"/>
        </w:rPr>
      </w:pPr>
    </w:p>
    <w:p w14:paraId="2EE951BC" w14:textId="2EB482FE" w:rsidR="00F11899" w:rsidRDefault="00F11899" w:rsidP="00F11899">
      <w:pPr>
        <w:spacing w:line="360" w:lineRule="auto"/>
        <w:jc w:val="both"/>
        <w:rPr>
          <w:rFonts w:ascii="Arial" w:hAnsi="Arial" w:cs="Arial"/>
          <w:color w:val="000000" w:themeColor="text1"/>
          <w:sz w:val="24"/>
          <w:szCs w:val="24"/>
        </w:rPr>
      </w:pPr>
      <w:bookmarkStart w:id="7" w:name="_Hlk25085812"/>
      <w:r w:rsidRPr="00660823">
        <w:rPr>
          <w:rFonts w:ascii="Arial" w:hAnsi="Arial" w:cs="Arial"/>
          <w:color w:val="000000" w:themeColor="text1"/>
          <w:sz w:val="24"/>
          <w:szCs w:val="24"/>
        </w:rPr>
        <w:t>De la lectura del presente medio de impugnación, se advierte que el actor señala expresamente como actos reclamados, el acuerdo (</w:t>
      </w:r>
      <w:r w:rsidR="00C7240C">
        <w:rPr>
          <w:rFonts w:ascii="Arial" w:hAnsi="Arial" w:cs="Arial"/>
          <w:color w:val="000000" w:themeColor="text1"/>
          <w:sz w:val="24"/>
          <w:szCs w:val="24"/>
        </w:rPr>
        <w:t>CG-R-26/21</w:t>
      </w:r>
      <w:r w:rsidRPr="00660823">
        <w:rPr>
          <w:rFonts w:ascii="Arial" w:hAnsi="Arial" w:cs="Arial"/>
          <w:color w:val="000000" w:themeColor="text1"/>
          <w:sz w:val="24"/>
          <w:szCs w:val="24"/>
        </w:rPr>
        <w:t>) que emitió el Instituto local, en el cual</w:t>
      </w:r>
      <w:r>
        <w:rPr>
          <w:rFonts w:ascii="Arial" w:hAnsi="Arial" w:cs="Arial"/>
          <w:color w:val="000000" w:themeColor="text1"/>
          <w:sz w:val="24"/>
          <w:szCs w:val="24"/>
        </w:rPr>
        <w:t xml:space="preserve"> se</w:t>
      </w:r>
      <w:r w:rsidRPr="00660823">
        <w:rPr>
          <w:rFonts w:ascii="Arial" w:hAnsi="Arial" w:cs="Arial"/>
          <w:color w:val="000000" w:themeColor="text1"/>
          <w:sz w:val="24"/>
          <w:szCs w:val="24"/>
        </w:rPr>
        <w:t xml:space="preserve"> aprobaron las candidaturas que presentó el PES ante tal autoridad</w:t>
      </w:r>
      <w:r>
        <w:rPr>
          <w:rFonts w:ascii="Arial" w:hAnsi="Arial" w:cs="Arial"/>
          <w:color w:val="000000" w:themeColor="text1"/>
          <w:sz w:val="24"/>
          <w:szCs w:val="24"/>
        </w:rPr>
        <w:t xml:space="preserve"> administrativa. </w:t>
      </w:r>
    </w:p>
    <w:p w14:paraId="5E120491" w14:textId="74462027" w:rsidR="00E166D6" w:rsidRDefault="00E166D6" w:rsidP="00F11899">
      <w:pPr>
        <w:spacing w:line="360" w:lineRule="auto"/>
        <w:jc w:val="both"/>
        <w:rPr>
          <w:rFonts w:ascii="Arial" w:hAnsi="Arial" w:cs="Arial"/>
          <w:color w:val="000000" w:themeColor="text1"/>
          <w:sz w:val="24"/>
          <w:szCs w:val="24"/>
        </w:rPr>
      </w:pPr>
    </w:p>
    <w:p w14:paraId="414C68DC" w14:textId="77777777" w:rsidR="00E166D6" w:rsidRDefault="00E166D6" w:rsidP="00F11899">
      <w:pPr>
        <w:spacing w:line="360" w:lineRule="auto"/>
        <w:jc w:val="both"/>
        <w:rPr>
          <w:rFonts w:ascii="Arial" w:hAnsi="Arial" w:cs="Arial"/>
          <w:color w:val="000000" w:themeColor="text1"/>
          <w:sz w:val="24"/>
          <w:szCs w:val="24"/>
        </w:rPr>
      </w:pPr>
    </w:p>
    <w:p w14:paraId="28A60B5B" w14:textId="77777777" w:rsidR="00F11899" w:rsidRDefault="00F11899" w:rsidP="00F11899">
      <w:pPr>
        <w:pStyle w:val="Sinespaciado"/>
      </w:pPr>
    </w:p>
    <w:p w14:paraId="47F16294" w14:textId="69EC8774" w:rsidR="00F11899" w:rsidRDefault="00F11899" w:rsidP="00F1189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Asimismo, señala </w:t>
      </w:r>
      <w:r w:rsidRPr="00660823">
        <w:rPr>
          <w:rFonts w:ascii="Arial" w:hAnsi="Arial" w:cs="Arial"/>
          <w:color w:val="000000" w:themeColor="text1"/>
          <w:sz w:val="24"/>
          <w:szCs w:val="24"/>
        </w:rPr>
        <w:t xml:space="preserve">la </w:t>
      </w:r>
      <w:r w:rsidRPr="00C37E80">
        <w:rPr>
          <w:rFonts w:ascii="Arial" w:hAnsi="Arial" w:cs="Arial"/>
          <w:color w:val="000000" w:themeColor="text1"/>
          <w:sz w:val="24"/>
          <w:szCs w:val="24"/>
        </w:rPr>
        <w:t xml:space="preserve">resolución </w:t>
      </w:r>
      <w:r w:rsidRPr="00660823">
        <w:rPr>
          <w:rFonts w:ascii="Arial" w:hAnsi="Arial" w:cs="Arial"/>
          <w:color w:val="000000" w:themeColor="text1"/>
          <w:sz w:val="24"/>
          <w:szCs w:val="24"/>
        </w:rPr>
        <w:t xml:space="preserve">que emitió la CNHJ, en </w:t>
      </w:r>
      <w:r w:rsidR="00C91F5B">
        <w:rPr>
          <w:rFonts w:ascii="Arial" w:hAnsi="Arial" w:cs="Arial"/>
          <w:color w:val="000000" w:themeColor="text1"/>
          <w:sz w:val="24"/>
          <w:szCs w:val="24"/>
        </w:rPr>
        <w:t>la cual</w:t>
      </w:r>
      <w:r w:rsidRPr="00660823">
        <w:rPr>
          <w:rFonts w:ascii="Arial" w:hAnsi="Arial" w:cs="Arial"/>
          <w:color w:val="000000" w:themeColor="text1"/>
          <w:sz w:val="24"/>
          <w:szCs w:val="24"/>
        </w:rPr>
        <w:t xml:space="preserve"> se resolvió el medio de impugnación partidista del actor, encaminado a cuestionar supuestas irregularidades surgidas en el proceso interno de selección de candidaturas, que le impidieron obtener su candidatura para el cargo de diputado local del distrito IV y</w:t>
      </w:r>
      <w:r>
        <w:rPr>
          <w:rFonts w:ascii="Arial" w:hAnsi="Arial" w:cs="Arial"/>
          <w:color w:val="000000" w:themeColor="text1"/>
          <w:sz w:val="24"/>
          <w:szCs w:val="24"/>
        </w:rPr>
        <w:t>, a su vez,</w:t>
      </w:r>
      <w:r w:rsidRPr="00660823">
        <w:rPr>
          <w:rFonts w:ascii="Arial" w:hAnsi="Arial" w:cs="Arial"/>
          <w:color w:val="000000" w:themeColor="text1"/>
          <w:sz w:val="24"/>
          <w:szCs w:val="24"/>
        </w:rPr>
        <w:t xml:space="preserve"> encabezar la lista de candidaturas para los cargos de diputaciones, por el principio </w:t>
      </w:r>
      <w:r w:rsidR="00C91F5B">
        <w:rPr>
          <w:rFonts w:ascii="Arial" w:hAnsi="Arial" w:cs="Arial"/>
          <w:color w:val="000000" w:themeColor="text1"/>
          <w:sz w:val="24"/>
          <w:szCs w:val="24"/>
        </w:rPr>
        <w:t>de representación proporcional</w:t>
      </w:r>
      <w:r w:rsidRPr="00660823">
        <w:rPr>
          <w:rFonts w:ascii="Arial" w:hAnsi="Arial" w:cs="Arial"/>
          <w:color w:val="000000" w:themeColor="text1"/>
          <w:sz w:val="24"/>
          <w:szCs w:val="24"/>
        </w:rPr>
        <w:t xml:space="preserve">. </w:t>
      </w:r>
    </w:p>
    <w:p w14:paraId="17CAF732" w14:textId="77777777" w:rsidR="00F11899" w:rsidRPr="00660823" w:rsidRDefault="00F11899" w:rsidP="00F11899">
      <w:pPr>
        <w:pStyle w:val="Sinespaciado"/>
      </w:pPr>
    </w:p>
    <w:p w14:paraId="125F93F9" w14:textId="6A033478" w:rsidR="00F11899" w:rsidRDefault="00F11899" w:rsidP="00F11899">
      <w:pPr>
        <w:spacing w:line="360" w:lineRule="auto"/>
        <w:jc w:val="both"/>
        <w:rPr>
          <w:rFonts w:ascii="Arial" w:hAnsi="Arial" w:cs="Arial"/>
          <w:color w:val="000000" w:themeColor="text1"/>
          <w:sz w:val="24"/>
          <w:szCs w:val="24"/>
        </w:rPr>
      </w:pPr>
      <w:r w:rsidRPr="00660823">
        <w:rPr>
          <w:rFonts w:ascii="Arial" w:hAnsi="Arial" w:cs="Arial"/>
          <w:color w:val="000000" w:themeColor="text1"/>
          <w:sz w:val="24"/>
          <w:szCs w:val="24"/>
        </w:rPr>
        <w:t xml:space="preserve">No obstante, este Tribunal considera que no es posible tener como acto reclamado el acuerdo del Instituto local, porque, en todo caso, </w:t>
      </w:r>
      <w:r w:rsidRPr="004D6F2D">
        <w:rPr>
          <w:rFonts w:ascii="Arial" w:hAnsi="Arial" w:cs="Arial"/>
          <w:b/>
          <w:bCs/>
          <w:color w:val="000000" w:themeColor="text1"/>
          <w:sz w:val="24"/>
          <w:szCs w:val="24"/>
        </w:rPr>
        <w:t>las irregularidades que plantea el actor</w:t>
      </w:r>
      <w:r w:rsidRPr="00660823">
        <w:rPr>
          <w:rFonts w:ascii="Arial" w:hAnsi="Arial" w:cs="Arial"/>
          <w:color w:val="000000" w:themeColor="text1"/>
          <w:sz w:val="24"/>
          <w:szCs w:val="24"/>
        </w:rPr>
        <w:t xml:space="preserve"> </w:t>
      </w:r>
      <w:r w:rsidRPr="004D6F2D">
        <w:rPr>
          <w:rFonts w:ascii="Arial" w:hAnsi="Arial" w:cs="Arial"/>
          <w:b/>
          <w:bCs/>
          <w:color w:val="000000" w:themeColor="text1"/>
          <w:sz w:val="24"/>
          <w:szCs w:val="24"/>
        </w:rPr>
        <w:t>son originadas en la vida interna del partido</w:t>
      </w:r>
      <w:r w:rsidRPr="00660823">
        <w:rPr>
          <w:rFonts w:ascii="Arial" w:hAnsi="Arial" w:cs="Arial"/>
          <w:color w:val="000000" w:themeColor="text1"/>
          <w:sz w:val="24"/>
          <w:szCs w:val="24"/>
        </w:rPr>
        <w:t xml:space="preserve"> y, de asistirle la razón, podría obtener su pretensión </w:t>
      </w:r>
      <w:r w:rsidR="00C91F5B">
        <w:rPr>
          <w:rFonts w:ascii="Arial" w:hAnsi="Arial" w:cs="Arial"/>
          <w:color w:val="000000" w:themeColor="text1"/>
          <w:sz w:val="24"/>
          <w:szCs w:val="24"/>
        </w:rPr>
        <w:t>relativa a</w:t>
      </w:r>
      <w:r w:rsidRPr="00660823">
        <w:rPr>
          <w:rFonts w:ascii="Arial" w:hAnsi="Arial" w:cs="Arial"/>
          <w:color w:val="000000" w:themeColor="text1"/>
          <w:sz w:val="24"/>
          <w:szCs w:val="24"/>
        </w:rPr>
        <w:t xml:space="preserve"> </w:t>
      </w:r>
      <w:r>
        <w:rPr>
          <w:rFonts w:ascii="Arial" w:hAnsi="Arial" w:cs="Arial"/>
          <w:color w:val="000000" w:themeColor="text1"/>
          <w:sz w:val="24"/>
          <w:szCs w:val="24"/>
        </w:rPr>
        <w:t xml:space="preserve">que </w:t>
      </w:r>
      <w:r w:rsidRPr="00660823">
        <w:rPr>
          <w:rFonts w:ascii="Arial" w:hAnsi="Arial" w:cs="Arial"/>
          <w:color w:val="000000" w:themeColor="text1"/>
          <w:sz w:val="24"/>
          <w:szCs w:val="24"/>
        </w:rPr>
        <w:t>la autoridad administrativa</w:t>
      </w:r>
      <w:r>
        <w:rPr>
          <w:rFonts w:ascii="Arial" w:hAnsi="Arial" w:cs="Arial"/>
          <w:color w:val="000000" w:themeColor="text1"/>
          <w:sz w:val="24"/>
          <w:szCs w:val="24"/>
        </w:rPr>
        <w:t xml:space="preserve"> los registre a tales candidaturas</w:t>
      </w:r>
      <w:r w:rsidRPr="00660823">
        <w:rPr>
          <w:rFonts w:ascii="Arial" w:hAnsi="Arial" w:cs="Arial"/>
          <w:color w:val="000000" w:themeColor="text1"/>
          <w:sz w:val="24"/>
          <w:szCs w:val="24"/>
        </w:rPr>
        <w:t xml:space="preserve">, como resultado de una resolución jurisdiccional </w:t>
      </w:r>
      <w:r>
        <w:rPr>
          <w:rFonts w:ascii="Arial" w:hAnsi="Arial" w:cs="Arial"/>
          <w:color w:val="000000" w:themeColor="text1"/>
          <w:sz w:val="24"/>
          <w:szCs w:val="24"/>
        </w:rPr>
        <w:t xml:space="preserve">emitida por </w:t>
      </w:r>
      <w:r w:rsidRPr="00660823">
        <w:rPr>
          <w:rFonts w:ascii="Arial" w:hAnsi="Arial" w:cs="Arial"/>
          <w:color w:val="000000" w:themeColor="text1"/>
          <w:sz w:val="24"/>
          <w:szCs w:val="24"/>
        </w:rPr>
        <w:t>este órgano jurisdiccional o, en su caso, la Sala Regional Monterrey</w:t>
      </w:r>
      <w:r w:rsidR="00C91F5B">
        <w:rPr>
          <w:rFonts w:ascii="Arial" w:hAnsi="Arial" w:cs="Arial"/>
          <w:color w:val="000000" w:themeColor="text1"/>
          <w:sz w:val="24"/>
          <w:szCs w:val="24"/>
        </w:rPr>
        <w:t xml:space="preserve"> del Tribunal Electoral del Poder Judicial de la Federación.</w:t>
      </w:r>
    </w:p>
    <w:p w14:paraId="1800C4AD" w14:textId="7085D598" w:rsidR="0098791F" w:rsidRDefault="0098791F" w:rsidP="0098791F">
      <w:pPr>
        <w:pStyle w:val="Sinespaciado"/>
      </w:pPr>
    </w:p>
    <w:p w14:paraId="596023A0" w14:textId="5A7A3C75" w:rsidR="0098791F" w:rsidRDefault="0098791F" w:rsidP="00F1189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Además, del análisis del escrito de demanda, se advierte que el actor </w:t>
      </w:r>
      <w:r w:rsidRPr="004D6F2D">
        <w:rPr>
          <w:rFonts w:ascii="Arial" w:hAnsi="Arial" w:cs="Arial"/>
          <w:b/>
          <w:bCs/>
          <w:color w:val="000000" w:themeColor="text1"/>
          <w:sz w:val="24"/>
          <w:szCs w:val="24"/>
        </w:rPr>
        <w:t>no formula agravios</w:t>
      </w:r>
      <w:r>
        <w:rPr>
          <w:rFonts w:ascii="Arial" w:hAnsi="Arial" w:cs="Arial"/>
          <w:color w:val="000000" w:themeColor="text1"/>
          <w:sz w:val="24"/>
          <w:szCs w:val="24"/>
        </w:rPr>
        <w:t xml:space="preserve"> para combatir el acuerdo del Consejo General </w:t>
      </w:r>
      <w:r w:rsidRPr="004D6F2D">
        <w:rPr>
          <w:rFonts w:ascii="Arial" w:hAnsi="Arial" w:cs="Arial"/>
          <w:b/>
          <w:bCs/>
          <w:color w:val="000000" w:themeColor="text1"/>
          <w:sz w:val="24"/>
          <w:szCs w:val="24"/>
        </w:rPr>
        <w:t>por vicios propios</w:t>
      </w:r>
      <w:r>
        <w:rPr>
          <w:rFonts w:ascii="Arial" w:hAnsi="Arial" w:cs="Arial"/>
          <w:color w:val="000000" w:themeColor="text1"/>
          <w:sz w:val="24"/>
          <w:szCs w:val="24"/>
        </w:rPr>
        <w:t>, sino que únicamente se duele de que no se respetaron las cuotas, cuestión que, igualmente, es atribuible al partido político.</w:t>
      </w:r>
    </w:p>
    <w:p w14:paraId="427F3E6B" w14:textId="77777777" w:rsidR="00F11899" w:rsidRPr="004D6F2D" w:rsidRDefault="00F11899" w:rsidP="004D6F2D">
      <w:pPr>
        <w:pStyle w:val="Sinespaciado"/>
      </w:pPr>
    </w:p>
    <w:p w14:paraId="3E11EE3B" w14:textId="1E6E3CE2" w:rsidR="0098791F" w:rsidRPr="00660823" w:rsidRDefault="00F11899" w:rsidP="00F11899">
      <w:pPr>
        <w:spacing w:line="360" w:lineRule="auto"/>
        <w:jc w:val="both"/>
        <w:rPr>
          <w:rFonts w:ascii="Arial" w:hAnsi="Arial" w:cs="Arial"/>
          <w:color w:val="000000" w:themeColor="text1"/>
          <w:sz w:val="24"/>
          <w:szCs w:val="24"/>
        </w:rPr>
      </w:pPr>
      <w:r w:rsidRPr="00660823">
        <w:rPr>
          <w:rFonts w:ascii="Arial" w:hAnsi="Arial" w:cs="Arial"/>
          <w:color w:val="000000" w:themeColor="text1"/>
          <w:sz w:val="24"/>
          <w:szCs w:val="24"/>
        </w:rPr>
        <w:t>En consecuencia, esta autoridad jurisdiccional considera que debe tenerse como acto reclamado la resolución emitida por la CNHJ del PES</w:t>
      </w:r>
      <w:r>
        <w:rPr>
          <w:rFonts w:ascii="Arial" w:hAnsi="Arial" w:cs="Arial"/>
          <w:color w:val="000000" w:themeColor="text1"/>
          <w:sz w:val="24"/>
          <w:szCs w:val="24"/>
        </w:rPr>
        <w:t xml:space="preserve">, </w:t>
      </w:r>
      <w:r w:rsidRPr="00660823">
        <w:rPr>
          <w:rFonts w:ascii="Arial" w:hAnsi="Arial" w:cs="Arial"/>
          <w:color w:val="000000" w:themeColor="text1"/>
          <w:sz w:val="24"/>
          <w:szCs w:val="24"/>
        </w:rPr>
        <w:t xml:space="preserve">que se pronunció sobre su posibilidad de obtener ambas candidaturas. </w:t>
      </w:r>
    </w:p>
    <w:p w14:paraId="77F265ED" w14:textId="77777777" w:rsidR="00F77408" w:rsidRPr="008B05F9" w:rsidRDefault="00F77408" w:rsidP="004D6F2D">
      <w:pPr>
        <w:pStyle w:val="Sinespaciado"/>
      </w:pPr>
    </w:p>
    <w:p w14:paraId="000BE6CA" w14:textId="130C81BA" w:rsidR="00CA2668" w:rsidRPr="008B05F9" w:rsidRDefault="00054D63" w:rsidP="00D02BD7">
      <w:pPr>
        <w:pStyle w:val="Ttulo1"/>
        <w:spacing w:before="0" w:beforeAutospacing="0" w:after="0" w:afterAutospacing="0"/>
        <w:jc w:val="left"/>
        <w:rPr>
          <w:rFonts w:cs="Arial"/>
          <w:szCs w:val="24"/>
        </w:rPr>
      </w:pPr>
      <w:bookmarkStart w:id="8" w:name="_Toc71637781"/>
      <w:r w:rsidRPr="008B05F9">
        <w:rPr>
          <w:rFonts w:cs="Arial"/>
          <w:caps w:val="0"/>
          <w:szCs w:val="24"/>
          <w:u w:val="single"/>
        </w:rPr>
        <w:t>Apartado I.</w:t>
      </w:r>
      <w:r w:rsidRPr="008B05F9">
        <w:rPr>
          <w:rFonts w:cs="Arial"/>
          <w:caps w:val="0"/>
          <w:szCs w:val="24"/>
        </w:rPr>
        <w:t xml:space="preserve"> Decisión</w:t>
      </w:r>
      <w:bookmarkEnd w:id="8"/>
      <w:r w:rsidRPr="008B05F9">
        <w:rPr>
          <w:rFonts w:cs="Arial"/>
          <w:caps w:val="0"/>
          <w:szCs w:val="24"/>
        </w:rPr>
        <w:t xml:space="preserve"> </w:t>
      </w:r>
      <w:r w:rsidR="005C7ACD" w:rsidRPr="008B05F9">
        <w:rPr>
          <w:rFonts w:cs="Arial"/>
          <w:szCs w:val="24"/>
        </w:rPr>
        <w:t xml:space="preserve"> </w:t>
      </w:r>
    </w:p>
    <w:p w14:paraId="61D973A4" w14:textId="77777777" w:rsidR="008B05F9" w:rsidRPr="004D6F2D" w:rsidRDefault="008B05F9" w:rsidP="004D6F2D">
      <w:pPr>
        <w:pStyle w:val="Sinespaciado"/>
        <w:rPr>
          <w:sz w:val="10"/>
          <w:szCs w:val="10"/>
        </w:rPr>
      </w:pPr>
    </w:p>
    <w:p w14:paraId="0B15D0B5" w14:textId="455C7FA1" w:rsidR="00DD06D7" w:rsidRPr="008B05F9" w:rsidRDefault="008B05F9" w:rsidP="00DD06D7">
      <w:pPr>
        <w:spacing w:line="360" w:lineRule="auto"/>
        <w:jc w:val="both"/>
        <w:rPr>
          <w:rFonts w:ascii="Arial" w:hAnsi="Arial" w:cs="Arial"/>
          <w:bCs/>
          <w:sz w:val="24"/>
          <w:szCs w:val="24"/>
        </w:rPr>
      </w:pPr>
      <w:r w:rsidRPr="008B05F9">
        <w:rPr>
          <w:rFonts w:ascii="Arial" w:hAnsi="Arial" w:cs="Arial"/>
          <w:bCs/>
          <w:sz w:val="24"/>
          <w:szCs w:val="24"/>
        </w:rPr>
        <w:t>Este Tribunal considera que el presente</w:t>
      </w:r>
      <w:r w:rsidR="00DD06D7" w:rsidRPr="008B05F9">
        <w:rPr>
          <w:rFonts w:ascii="Arial" w:hAnsi="Arial" w:cs="Arial"/>
          <w:bCs/>
          <w:sz w:val="24"/>
          <w:szCs w:val="24"/>
        </w:rPr>
        <w:t xml:space="preserve"> juicio ciudadano es</w:t>
      </w:r>
      <w:r w:rsidRPr="008B05F9">
        <w:rPr>
          <w:rFonts w:ascii="Arial" w:hAnsi="Arial" w:cs="Arial"/>
          <w:bCs/>
          <w:sz w:val="24"/>
          <w:szCs w:val="24"/>
        </w:rPr>
        <w:t xml:space="preserve"> </w:t>
      </w:r>
      <w:r w:rsidRPr="008B05F9">
        <w:rPr>
          <w:rFonts w:ascii="Arial" w:hAnsi="Arial" w:cs="Arial"/>
          <w:b/>
          <w:sz w:val="24"/>
          <w:szCs w:val="24"/>
        </w:rPr>
        <w:t>extemporáneo</w:t>
      </w:r>
      <w:r w:rsidRPr="008B05F9">
        <w:rPr>
          <w:rFonts w:ascii="Arial" w:hAnsi="Arial" w:cs="Arial"/>
          <w:bCs/>
          <w:sz w:val="24"/>
          <w:szCs w:val="24"/>
        </w:rPr>
        <w:t xml:space="preserve"> y,</w:t>
      </w:r>
      <w:r w:rsidR="00DD06D7" w:rsidRPr="008B05F9">
        <w:rPr>
          <w:rFonts w:ascii="Arial" w:hAnsi="Arial" w:cs="Arial"/>
          <w:bCs/>
          <w:sz w:val="24"/>
          <w:szCs w:val="24"/>
        </w:rPr>
        <w:t xml:space="preserve"> por tanto</w:t>
      </w:r>
      <w:r w:rsidRPr="008B05F9">
        <w:rPr>
          <w:rFonts w:ascii="Arial" w:hAnsi="Arial" w:cs="Arial"/>
          <w:bCs/>
          <w:sz w:val="24"/>
          <w:szCs w:val="24"/>
        </w:rPr>
        <w:t>,</w:t>
      </w:r>
      <w:r w:rsidR="00DD06D7" w:rsidRPr="008B05F9">
        <w:rPr>
          <w:rFonts w:ascii="Arial" w:hAnsi="Arial" w:cs="Arial"/>
          <w:bCs/>
          <w:sz w:val="24"/>
          <w:szCs w:val="24"/>
        </w:rPr>
        <w:t xml:space="preserve"> la demanda debe desechar</w:t>
      </w:r>
      <w:r w:rsidR="00FA162C">
        <w:rPr>
          <w:rFonts w:ascii="Arial" w:hAnsi="Arial" w:cs="Arial"/>
          <w:bCs/>
          <w:sz w:val="24"/>
          <w:szCs w:val="24"/>
        </w:rPr>
        <w:t>se</w:t>
      </w:r>
      <w:r w:rsidR="00DD06D7" w:rsidRPr="008B05F9">
        <w:rPr>
          <w:rFonts w:ascii="Arial" w:hAnsi="Arial" w:cs="Arial"/>
          <w:bCs/>
          <w:sz w:val="24"/>
          <w:szCs w:val="24"/>
        </w:rPr>
        <w:t xml:space="preserve"> de plano</w:t>
      </w:r>
      <w:r w:rsidRPr="008B05F9">
        <w:rPr>
          <w:rFonts w:ascii="Arial" w:hAnsi="Arial" w:cs="Arial"/>
          <w:bCs/>
          <w:sz w:val="24"/>
          <w:szCs w:val="24"/>
        </w:rPr>
        <w:t>.</w:t>
      </w:r>
    </w:p>
    <w:p w14:paraId="3FD84BCC" w14:textId="77777777" w:rsidR="00DF2DE8" w:rsidRPr="004D6F2D" w:rsidRDefault="00DF2DE8" w:rsidP="004D6F2D">
      <w:pPr>
        <w:pStyle w:val="Sinespaciado"/>
      </w:pPr>
    </w:p>
    <w:p w14:paraId="24D7F3D7" w14:textId="42851109" w:rsidR="00834A79" w:rsidRPr="008B05F9" w:rsidRDefault="0017171F" w:rsidP="00AF3C20">
      <w:pPr>
        <w:pStyle w:val="Ttulo1"/>
        <w:spacing w:before="0" w:beforeAutospacing="0" w:after="0" w:afterAutospacing="0"/>
        <w:jc w:val="left"/>
        <w:rPr>
          <w:rFonts w:cs="Arial"/>
          <w:caps w:val="0"/>
          <w:szCs w:val="24"/>
          <w:lang w:eastAsia="es-MX"/>
        </w:rPr>
      </w:pPr>
      <w:bookmarkStart w:id="9" w:name="_Toc71637782"/>
      <w:r w:rsidRPr="008B05F9">
        <w:rPr>
          <w:rFonts w:cs="Arial"/>
          <w:caps w:val="0"/>
          <w:szCs w:val="24"/>
          <w:u w:val="single"/>
        </w:rPr>
        <w:t>Apartado II.</w:t>
      </w:r>
      <w:r w:rsidR="00271087" w:rsidRPr="008B05F9">
        <w:rPr>
          <w:rFonts w:cs="Arial"/>
          <w:caps w:val="0"/>
          <w:szCs w:val="24"/>
        </w:rPr>
        <w:t xml:space="preserve"> </w:t>
      </w:r>
      <w:r w:rsidRPr="008B05F9">
        <w:rPr>
          <w:rFonts w:cs="Arial"/>
          <w:caps w:val="0"/>
          <w:szCs w:val="24"/>
          <w:lang w:eastAsia="es-MX"/>
        </w:rPr>
        <w:t>Desarrollo y justificación de la decisión</w:t>
      </w:r>
      <w:bookmarkEnd w:id="9"/>
    </w:p>
    <w:p w14:paraId="05EB5612" w14:textId="77777777" w:rsidR="008B05F9" w:rsidRPr="004D6F2D" w:rsidRDefault="008B05F9" w:rsidP="008B05F9">
      <w:pPr>
        <w:rPr>
          <w:sz w:val="10"/>
          <w:szCs w:val="10"/>
          <w:lang w:eastAsia="es-MX"/>
        </w:rPr>
      </w:pPr>
    </w:p>
    <w:p w14:paraId="0F78C4B1" w14:textId="45BF0AF9" w:rsidR="00F77408" w:rsidRPr="008B05F9" w:rsidRDefault="00F77408" w:rsidP="00F77408">
      <w:pPr>
        <w:pStyle w:val="Prrafodelista"/>
        <w:numPr>
          <w:ilvl w:val="0"/>
          <w:numId w:val="43"/>
        </w:numPr>
        <w:ind w:left="284"/>
        <w:rPr>
          <w:rFonts w:ascii="Arial" w:hAnsi="Arial" w:cs="Arial"/>
          <w:b/>
          <w:sz w:val="24"/>
          <w:szCs w:val="24"/>
          <w:lang w:eastAsia="es-MX"/>
        </w:rPr>
      </w:pPr>
      <w:r w:rsidRPr="008B05F9">
        <w:rPr>
          <w:rFonts w:ascii="Arial" w:hAnsi="Arial" w:cs="Arial"/>
          <w:b/>
          <w:sz w:val="24"/>
          <w:szCs w:val="24"/>
          <w:lang w:eastAsia="es-MX"/>
        </w:rPr>
        <w:t xml:space="preserve">Marco normativo sobre la extemporaneidad de los medios de </w:t>
      </w:r>
      <w:r w:rsidR="001B6EEF" w:rsidRPr="008B05F9">
        <w:rPr>
          <w:rFonts w:ascii="Arial" w:hAnsi="Arial" w:cs="Arial"/>
          <w:b/>
          <w:sz w:val="24"/>
          <w:szCs w:val="24"/>
          <w:lang w:eastAsia="es-MX"/>
        </w:rPr>
        <w:t>impugnación</w:t>
      </w:r>
      <w:r w:rsidRPr="008B05F9">
        <w:rPr>
          <w:rFonts w:ascii="Arial" w:hAnsi="Arial" w:cs="Arial"/>
          <w:b/>
          <w:sz w:val="24"/>
          <w:szCs w:val="24"/>
          <w:lang w:eastAsia="es-MX"/>
        </w:rPr>
        <w:t xml:space="preserve"> </w:t>
      </w:r>
    </w:p>
    <w:p w14:paraId="01617AD0" w14:textId="77777777" w:rsidR="00F77408" w:rsidRPr="008B05F9" w:rsidRDefault="00F77408" w:rsidP="004D6F2D">
      <w:pPr>
        <w:rPr>
          <w:rFonts w:ascii="Arial" w:hAnsi="Arial" w:cs="Arial"/>
          <w:b/>
          <w:sz w:val="24"/>
          <w:szCs w:val="24"/>
          <w:lang w:eastAsia="es-MX"/>
        </w:rPr>
      </w:pPr>
    </w:p>
    <w:p w14:paraId="6C3BA7B3" w14:textId="439E1F23" w:rsidR="008B05F9" w:rsidRDefault="008B05F9" w:rsidP="004D6F2D">
      <w:pPr>
        <w:spacing w:line="360" w:lineRule="auto"/>
        <w:jc w:val="both"/>
        <w:rPr>
          <w:rFonts w:ascii="Arial" w:hAnsi="Arial" w:cs="Arial"/>
          <w:sz w:val="24"/>
          <w:szCs w:val="24"/>
          <w:lang w:eastAsia="es-MX"/>
        </w:rPr>
      </w:pPr>
      <w:r w:rsidRPr="008B05F9">
        <w:rPr>
          <w:rFonts w:ascii="Arial" w:hAnsi="Arial" w:cs="Arial"/>
          <w:sz w:val="24"/>
          <w:szCs w:val="24"/>
          <w:lang w:eastAsia="es-MX"/>
        </w:rPr>
        <w:t>E</w:t>
      </w:r>
      <w:r w:rsidR="001B6EEF" w:rsidRPr="008B05F9">
        <w:rPr>
          <w:rFonts w:ascii="Arial" w:hAnsi="Arial" w:cs="Arial"/>
          <w:sz w:val="24"/>
          <w:szCs w:val="24"/>
          <w:lang w:eastAsia="es-MX"/>
        </w:rPr>
        <w:t xml:space="preserve">l artículo </w:t>
      </w:r>
      <w:r w:rsidRPr="008B05F9">
        <w:rPr>
          <w:rFonts w:ascii="Arial" w:hAnsi="Arial" w:cs="Arial"/>
          <w:sz w:val="24"/>
          <w:szCs w:val="24"/>
          <w:lang w:eastAsia="es-MX"/>
        </w:rPr>
        <w:t>301, del Código Electoral</w:t>
      </w:r>
      <w:r w:rsidRPr="008B05F9">
        <w:rPr>
          <w:rStyle w:val="Refdenotaalpie"/>
          <w:rFonts w:ascii="Arial" w:hAnsi="Arial" w:cs="Arial"/>
          <w:sz w:val="24"/>
          <w:szCs w:val="24"/>
          <w:lang w:eastAsia="es-MX"/>
        </w:rPr>
        <w:footnoteReference w:id="3"/>
      </w:r>
      <w:r w:rsidR="001B6EEF" w:rsidRPr="008B05F9">
        <w:rPr>
          <w:rFonts w:ascii="Arial" w:hAnsi="Arial" w:cs="Arial"/>
          <w:sz w:val="24"/>
          <w:szCs w:val="24"/>
          <w:lang w:eastAsia="es-MX"/>
        </w:rPr>
        <w:t xml:space="preserve"> establece que el</w:t>
      </w:r>
      <w:r w:rsidRPr="008B05F9">
        <w:rPr>
          <w:rFonts w:ascii="Arial" w:hAnsi="Arial" w:cs="Arial"/>
          <w:sz w:val="24"/>
          <w:szCs w:val="24"/>
          <w:lang w:eastAsia="es-MX"/>
        </w:rPr>
        <w:t xml:space="preserve"> </w:t>
      </w:r>
      <w:r w:rsidR="001B6EEF" w:rsidRPr="008B05F9">
        <w:rPr>
          <w:rFonts w:ascii="Arial" w:hAnsi="Arial" w:cs="Arial"/>
          <w:sz w:val="24"/>
          <w:szCs w:val="24"/>
          <w:lang w:eastAsia="es-MX"/>
        </w:rPr>
        <w:t xml:space="preserve">plazo para presentar los medios de impugnación en materia electoral </w:t>
      </w:r>
      <w:r w:rsidRPr="008B05F9">
        <w:rPr>
          <w:rFonts w:ascii="Arial" w:hAnsi="Arial" w:cs="Arial"/>
          <w:sz w:val="24"/>
          <w:szCs w:val="24"/>
          <w:lang w:eastAsia="es-MX"/>
        </w:rPr>
        <w:t>será de</w:t>
      </w:r>
      <w:r w:rsidR="001B6EEF" w:rsidRPr="008B05F9">
        <w:rPr>
          <w:rFonts w:ascii="Arial" w:hAnsi="Arial" w:cs="Arial"/>
          <w:sz w:val="24"/>
          <w:szCs w:val="24"/>
          <w:lang w:eastAsia="es-MX"/>
        </w:rPr>
        <w:t xml:space="preserve"> </w:t>
      </w:r>
      <w:r w:rsidRPr="008B05F9">
        <w:rPr>
          <w:rFonts w:ascii="Arial" w:hAnsi="Arial" w:cs="Arial"/>
          <w:sz w:val="24"/>
          <w:szCs w:val="24"/>
          <w:lang w:eastAsia="es-MX"/>
        </w:rPr>
        <w:t>cuatro</w:t>
      </w:r>
      <w:r w:rsidR="001B6EEF" w:rsidRPr="008B05F9">
        <w:rPr>
          <w:rFonts w:ascii="Arial" w:hAnsi="Arial" w:cs="Arial"/>
          <w:sz w:val="24"/>
          <w:szCs w:val="24"/>
          <w:lang w:eastAsia="es-MX"/>
        </w:rPr>
        <w:t xml:space="preserve"> días y,</w:t>
      </w:r>
      <w:r w:rsidRPr="008B05F9">
        <w:rPr>
          <w:rFonts w:ascii="Arial" w:hAnsi="Arial" w:cs="Arial"/>
          <w:sz w:val="24"/>
          <w:szCs w:val="24"/>
          <w:lang w:eastAsia="es-MX"/>
        </w:rPr>
        <w:t xml:space="preserve"> que</w:t>
      </w:r>
      <w:r w:rsidR="001B6EEF" w:rsidRPr="008B05F9">
        <w:rPr>
          <w:rFonts w:ascii="Arial" w:hAnsi="Arial" w:cs="Arial"/>
          <w:sz w:val="24"/>
          <w:szCs w:val="24"/>
          <w:lang w:eastAsia="es-MX"/>
        </w:rPr>
        <w:t> dicho plazo, </w:t>
      </w:r>
      <w:r w:rsidRPr="008B05F9">
        <w:rPr>
          <w:rFonts w:ascii="Arial" w:hAnsi="Arial" w:cs="Arial"/>
          <w:sz w:val="24"/>
          <w:szCs w:val="24"/>
          <w:lang w:eastAsia="es-MX"/>
        </w:rPr>
        <w:t xml:space="preserve">comenzará a correr a partir </w:t>
      </w:r>
      <w:r w:rsidR="001B6EEF" w:rsidRPr="008B05F9">
        <w:rPr>
          <w:rFonts w:ascii="Arial" w:hAnsi="Arial" w:cs="Arial"/>
          <w:sz w:val="24"/>
          <w:szCs w:val="24"/>
          <w:lang w:eastAsia="es-MX"/>
        </w:rPr>
        <w:t>del siguiente a aquél en que se tenga conocimiento del acto o resolución impugnado, o bien</w:t>
      </w:r>
      <w:r w:rsidRPr="008B05F9">
        <w:rPr>
          <w:rFonts w:ascii="Arial" w:hAnsi="Arial" w:cs="Arial"/>
          <w:sz w:val="24"/>
          <w:szCs w:val="24"/>
          <w:lang w:eastAsia="es-MX"/>
        </w:rPr>
        <w:t>,</w:t>
      </w:r>
      <w:r w:rsidR="001B6EEF" w:rsidRPr="008B05F9">
        <w:rPr>
          <w:rFonts w:ascii="Arial" w:hAnsi="Arial" w:cs="Arial"/>
          <w:sz w:val="24"/>
          <w:szCs w:val="24"/>
          <w:lang w:eastAsia="es-MX"/>
        </w:rPr>
        <w:t xml:space="preserve"> se hubiese notificado de conformidad con la ley</w:t>
      </w:r>
      <w:r w:rsidRPr="008B05F9">
        <w:rPr>
          <w:rFonts w:ascii="Arial" w:hAnsi="Arial" w:cs="Arial"/>
          <w:sz w:val="24"/>
          <w:szCs w:val="24"/>
          <w:lang w:eastAsia="es-MX"/>
        </w:rPr>
        <w:t>.</w:t>
      </w:r>
    </w:p>
    <w:p w14:paraId="241D5629" w14:textId="77777777" w:rsidR="004D6F2D" w:rsidRPr="004D6F2D" w:rsidRDefault="004D6F2D" w:rsidP="004D6F2D">
      <w:pPr>
        <w:pStyle w:val="Sinespaciado"/>
        <w:rPr>
          <w:lang w:eastAsia="es-MX"/>
        </w:rPr>
      </w:pPr>
    </w:p>
    <w:p w14:paraId="69A4CD04" w14:textId="7770CBB1" w:rsidR="00E166D6" w:rsidRDefault="008B05F9" w:rsidP="004D6F2D">
      <w:pPr>
        <w:spacing w:line="360" w:lineRule="auto"/>
        <w:jc w:val="both"/>
        <w:rPr>
          <w:rFonts w:ascii="Arial" w:hAnsi="Arial" w:cs="Arial"/>
          <w:b/>
          <w:bCs/>
          <w:sz w:val="24"/>
          <w:szCs w:val="24"/>
          <w:lang w:eastAsia="es-MX"/>
        </w:rPr>
      </w:pPr>
      <w:r w:rsidRPr="008B05F9">
        <w:rPr>
          <w:rFonts w:ascii="Arial" w:hAnsi="Arial" w:cs="Arial"/>
          <w:sz w:val="24"/>
          <w:szCs w:val="24"/>
          <w:lang w:eastAsia="es-MX"/>
        </w:rPr>
        <w:t>A su ve</w:t>
      </w:r>
      <w:r w:rsidR="001B6EEF" w:rsidRPr="008B05F9">
        <w:rPr>
          <w:rFonts w:ascii="Arial" w:hAnsi="Arial" w:cs="Arial"/>
          <w:sz w:val="24"/>
          <w:szCs w:val="24"/>
          <w:lang w:eastAsia="es-MX"/>
        </w:rPr>
        <w:t xml:space="preserve">z, el artículo </w:t>
      </w:r>
      <w:r w:rsidRPr="008B05F9">
        <w:rPr>
          <w:rFonts w:ascii="Arial" w:hAnsi="Arial" w:cs="Arial"/>
          <w:sz w:val="24"/>
          <w:szCs w:val="24"/>
          <w:lang w:eastAsia="es-MX"/>
        </w:rPr>
        <w:t>304,</w:t>
      </w:r>
      <w:r w:rsidR="001B6EEF" w:rsidRPr="008B05F9">
        <w:rPr>
          <w:rFonts w:ascii="Arial" w:hAnsi="Arial" w:cs="Arial"/>
          <w:sz w:val="24"/>
          <w:szCs w:val="24"/>
          <w:lang w:eastAsia="es-MX"/>
        </w:rPr>
        <w:t xml:space="preserve"> </w:t>
      </w:r>
      <w:r w:rsidRPr="008B05F9">
        <w:rPr>
          <w:rFonts w:ascii="Arial" w:hAnsi="Arial" w:cs="Arial"/>
          <w:sz w:val="24"/>
          <w:szCs w:val="24"/>
          <w:lang w:eastAsia="es-MX"/>
        </w:rPr>
        <w:t>fracción I</w:t>
      </w:r>
      <w:r w:rsidRPr="008B05F9">
        <w:rPr>
          <w:rStyle w:val="Refdenotaalpie"/>
          <w:rFonts w:ascii="Arial" w:hAnsi="Arial" w:cs="Arial"/>
          <w:sz w:val="24"/>
          <w:szCs w:val="24"/>
          <w:lang w:eastAsia="es-MX"/>
        </w:rPr>
        <w:footnoteReference w:id="4"/>
      </w:r>
      <w:r w:rsidRPr="008B05F9">
        <w:rPr>
          <w:rFonts w:ascii="Arial" w:hAnsi="Arial" w:cs="Arial"/>
          <w:sz w:val="24"/>
          <w:szCs w:val="24"/>
          <w:lang w:eastAsia="es-MX"/>
        </w:rPr>
        <w:t xml:space="preserve"> </w:t>
      </w:r>
      <w:r w:rsidR="00C91F5B">
        <w:rPr>
          <w:rFonts w:ascii="Arial" w:hAnsi="Arial" w:cs="Arial"/>
          <w:sz w:val="24"/>
          <w:szCs w:val="24"/>
          <w:lang w:eastAsia="es-MX"/>
        </w:rPr>
        <w:t>prevé</w:t>
      </w:r>
      <w:r w:rsidR="001B6EEF" w:rsidRPr="008B05F9">
        <w:rPr>
          <w:rFonts w:ascii="Arial" w:hAnsi="Arial" w:cs="Arial"/>
          <w:sz w:val="24"/>
          <w:szCs w:val="24"/>
          <w:lang w:eastAsia="es-MX"/>
        </w:rPr>
        <w:t xml:space="preserve"> que los medios de impugnación serán improcedentes cuando la demanda se presente fuera de los plazos señalados en la ley.</w:t>
      </w:r>
      <w:r w:rsidRPr="008B05F9">
        <w:rPr>
          <w:rFonts w:ascii="Arial" w:hAnsi="Arial" w:cs="Arial"/>
          <w:sz w:val="24"/>
          <w:szCs w:val="24"/>
          <w:lang w:eastAsia="es-MX"/>
        </w:rPr>
        <w:t xml:space="preserve"> </w:t>
      </w:r>
      <w:r w:rsidR="001B6EEF" w:rsidRPr="008B05F9">
        <w:rPr>
          <w:rFonts w:ascii="Arial" w:hAnsi="Arial" w:cs="Arial"/>
          <w:sz w:val="24"/>
          <w:szCs w:val="24"/>
          <w:lang w:eastAsia="es-MX"/>
        </w:rPr>
        <w:lastRenderedPageBreak/>
        <w:t>Finalmente</w:t>
      </w:r>
      <w:r w:rsidRPr="008B05F9">
        <w:rPr>
          <w:rFonts w:ascii="Arial" w:hAnsi="Arial" w:cs="Arial"/>
          <w:sz w:val="24"/>
          <w:szCs w:val="24"/>
          <w:lang w:eastAsia="es-MX"/>
        </w:rPr>
        <w:t>,</w:t>
      </w:r>
      <w:r w:rsidR="001B6EEF" w:rsidRPr="008B05F9">
        <w:rPr>
          <w:rFonts w:ascii="Arial" w:hAnsi="Arial" w:cs="Arial"/>
          <w:sz w:val="24"/>
          <w:szCs w:val="24"/>
          <w:lang w:eastAsia="es-MX"/>
        </w:rPr>
        <w:t xml:space="preserve"> el artículo</w:t>
      </w:r>
      <w:r w:rsidRPr="008B05F9">
        <w:rPr>
          <w:rFonts w:ascii="Arial" w:hAnsi="Arial" w:cs="Arial"/>
          <w:sz w:val="24"/>
          <w:szCs w:val="24"/>
          <w:lang w:eastAsia="es-MX"/>
        </w:rPr>
        <w:t xml:space="preserve"> 300</w:t>
      </w:r>
      <w:r w:rsidRPr="008B05F9">
        <w:rPr>
          <w:rStyle w:val="Refdenotaalpie"/>
          <w:rFonts w:ascii="Arial" w:hAnsi="Arial" w:cs="Arial"/>
          <w:sz w:val="24"/>
          <w:szCs w:val="24"/>
          <w:lang w:eastAsia="es-MX"/>
        </w:rPr>
        <w:footnoteReference w:id="5"/>
      </w:r>
      <w:r w:rsidRPr="008B05F9">
        <w:rPr>
          <w:rFonts w:ascii="Arial" w:hAnsi="Arial" w:cs="Arial"/>
          <w:sz w:val="24"/>
          <w:szCs w:val="24"/>
          <w:lang w:eastAsia="es-MX"/>
        </w:rPr>
        <w:t xml:space="preserve"> de dicho </w:t>
      </w:r>
      <w:r w:rsidR="00C91F5B" w:rsidRPr="008B05F9">
        <w:rPr>
          <w:rFonts w:ascii="Arial" w:hAnsi="Arial" w:cs="Arial"/>
          <w:sz w:val="24"/>
          <w:szCs w:val="24"/>
          <w:lang w:eastAsia="es-MX"/>
        </w:rPr>
        <w:t>ordenamiento dispone</w:t>
      </w:r>
      <w:r w:rsidR="001B6EEF" w:rsidRPr="008B05F9">
        <w:rPr>
          <w:rFonts w:ascii="Arial" w:hAnsi="Arial" w:cs="Arial"/>
          <w:sz w:val="24"/>
          <w:szCs w:val="24"/>
          <w:lang w:eastAsia="es-MX"/>
        </w:rPr>
        <w:t xml:space="preserve"> que durante el proceso electoral </w:t>
      </w:r>
      <w:r w:rsidR="001B6EEF" w:rsidRPr="00C91F5B">
        <w:rPr>
          <w:rFonts w:ascii="Arial" w:hAnsi="Arial" w:cs="Arial"/>
          <w:b/>
          <w:bCs/>
          <w:sz w:val="24"/>
          <w:szCs w:val="24"/>
          <w:lang w:eastAsia="es-MX"/>
        </w:rPr>
        <w:t xml:space="preserve">todos los días y horas son hábiles. </w:t>
      </w:r>
    </w:p>
    <w:p w14:paraId="3D433252" w14:textId="77777777" w:rsidR="004D6F2D" w:rsidRDefault="004D6F2D" w:rsidP="004D6F2D">
      <w:pPr>
        <w:pStyle w:val="Sinespaciado"/>
        <w:rPr>
          <w:lang w:eastAsia="es-MX"/>
        </w:rPr>
      </w:pPr>
    </w:p>
    <w:p w14:paraId="467B34FB" w14:textId="0A9E93FD" w:rsidR="00A6520B" w:rsidRDefault="00A6520B" w:rsidP="004D6F2D">
      <w:pPr>
        <w:spacing w:line="360" w:lineRule="auto"/>
        <w:jc w:val="both"/>
        <w:rPr>
          <w:rFonts w:ascii="Arial" w:hAnsi="Arial" w:cs="Arial"/>
          <w:sz w:val="24"/>
          <w:szCs w:val="24"/>
          <w:lang w:eastAsia="es-MX"/>
        </w:rPr>
      </w:pPr>
      <w:r>
        <w:rPr>
          <w:rFonts w:ascii="Arial" w:hAnsi="Arial" w:cs="Arial"/>
          <w:sz w:val="24"/>
          <w:szCs w:val="24"/>
          <w:lang w:eastAsia="es-MX"/>
        </w:rPr>
        <w:t xml:space="preserve">Finalmente, los </w:t>
      </w:r>
      <w:r w:rsidR="007E1155">
        <w:rPr>
          <w:rFonts w:ascii="Arial" w:hAnsi="Arial" w:cs="Arial"/>
          <w:sz w:val="24"/>
          <w:szCs w:val="24"/>
          <w:lang w:eastAsia="es-MX"/>
        </w:rPr>
        <w:t>L</w:t>
      </w:r>
      <w:r>
        <w:rPr>
          <w:rFonts w:ascii="Arial" w:hAnsi="Arial" w:cs="Arial"/>
          <w:sz w:val="24"/>
          <w:szCs w:val="24"/>
          <w:lang w:eastAsia="es-MX"/>
        </w:rPr>
        <w:t xml:space="preserve">ineamientos disponen que </w:t>
      </w:r>
      <w:r w:rsidR="007E1155">
        <w:rPr>
          <w:rFonts w:ascii="Arial" w:hAnsi="Arial" w:cs="Arial"/>
          <w:sz w:val="24"/>
          <w:szCs w:val="24"/>
          <w:lang w:eastAsia="es-MX"/>
        </w:rPr>
        <w:t>el</w:t>
      </w:r>
      <w:r>
        <w:rPr>
          <w:rFonts w:ascii="Arial" w:hAnsi="Arial" w:cs="Arial"/>
          <w:sz w:val="24"/>
          <w:szCs w:val="24"/>
          <w:lang w:eastAsia="es-MX"/>
        </w:rPr>
        <w:t xml:space="preserve"> plazo para la interposición, trámite, sustanciación y resolución, del juicio para la protección de los derechos político-electorales de la ciudadanía</w:t>
      </w:r>
      <w:r w:rsidR="004D6F2D">
        <w:rPr>
          <w:rFonts w:ascii="Arial" w:hAnsi="Arial" w:cs="Arial"/>
          <w:sz w:val="24"/>
          <w:szCs w:val="24"/>
          <w:lang w:eastAsia="es-MX"/>
        </w:rPr>
        <w:t>,</w:t>
      </w:r>
      <w:r>
        <w:rPr>
          <w:rFonts w:ascii="Arial" w:hAnsi="Arial" w:cs="Arial"/>
          <w:sz w:val="24"/>
          <w:szCs w:val="24"/>
          <w:lang w:eastAsia="es-MX"/>
        </w:rPr>
        <w:t xml:space="preserve"> es el que </w:t>
      </w:r>
      <w:r w:rsidRPr="007E1155">
        <w:rPr>
          <w:rFonts w:ascii="Arial" w:hAnsi="Arial" w:cs="Arial"/>
          <w:b/>
          <w:bCs/>
          <w:sz w:val="24"/>
          <w:szCs w:val="24"/>
          <w:lang w:eastAsia="es-MX"/>
        </w:rPr>
        <w:t>se encuentra previsto</w:t>
      </w:r>
      <w:r>
        <w:rPr>
          <w:rFonts w:ascii="Arial" w:hAnsi="Arial" w:cs="Arial"/>
          <w:sz w:val="24"/>
          <w:szCs w:val="24"/>
          <w:lang w:eastAsia="es-MX"/>
        </w:rPr>
        <w:t xml:space="preserve"> para los medios de impugnación </w:t>
      </w:r>
      <w:r w:rsidRPr="007E1155">
        <w:rPr>
          <w:rFonts w:ascii="Arial" w:hAnsi="Arial" w:cs="Arial"/>
          <w:b/>
          <w:bCs/>
          <w:sz w:val="24"/>
          <w:szCs w:val="24"/>
          <w:lang w:eastAsia="es-MX"/>
        </w:rPr>
        <w:t>en el Código Electoral</w:t>
      </w:r>
      <w:r>
        <w:rPr>
          <w:rFonts w:ascii="Arial" w:hAnsi="Arial" w:cs="Arial"/>
          <w:sz w:val="24"/>
          <w:szCs w:val="24"/>
          <w:lang w:eastAsia="es-MX"/>
        </w:rPr>
        <w:t>.</w:t>
      </w:r>
      <w:r>
        <w:rPr>
          <w:rStyle w:val="Refdenotaalpie"/>
          <w:rFonts w:ascii="Arial" w:hAnsi="Arial" w:cs="Arial"/>
          <w:sz w:val="24"/>
          <w:szCs w:val="24"/>
          <w:lang w:eastAsia="es-MX"/>
        </w:rPr>
        <w:footnoteReference w:id="6"/>
      </w:r>
      <w:r>
        <w:rPr>
          <w:rFonts w:ascii="Arial" w:hAnsi="Arial" w:cs="Arial"/>
          <w:sz w:val="24"/>
          <w:szCs w:val="24"/>
          <w:lang w:eastAsia="es-MX"/>
        </w:rPr>
        <w:t xml:space="preserve"> </w:t>
      </w:r>
    </w:p>
    <w:p w14:paraId="6F72F98C" w14:textId="77777777" w:rsidR="00A6520B" w:rsidRPr="00E166D6" w:rsidRDefault="00A6520B" w:rsidP="004D6F2D">
      <w:pPr>
        <w:pStyle w:val="Sinespaciado"/>
        <w:rPr>
          <w:lang w:eastAsia="es-MX"/>
        </w:rPr>
      </w:pPr>
    </w:p>
    <w:p w14:paraId="189AE47F" w14:textId="19E239EA" w:rsidR="00FA162C" w:rsidRPr="00E166D6" w:rsidRDefault="001B6EEF" w:rsidP="004D6F2D">
      <w:pPr>
        <w:spacing w:line="360" w:lineRule="auto"/>
        <w:jc w:val="both"/>
        <w:rPr>
          <w:rFonts w:ascii="Arial" w:hAnsi="Arial" w:cs="Arial"/>
          <w:b/>
          <w:bCs/>
          <w:sz w:val="24"/>
          <w:szCs w:val="24"/>
          <w:lang w:eastAsia="es-MX"/>
        </w:rPr>
      </w:pPr>
      <w:r w:rsidRPr="008B05F9">
        <w:rPr>
          <w:rFonts w:ascii="Arial" w:hAnsi="Arial" w:cs="Arial"/>
          <w:sz w:val="24"/>
          <w:szCs w:val="24"/>
          <w:lang w:eastAsia="es-MX"/>
        </w:rPr>
        <w:t>De lo anterior</w:t>
      </w:r>
      <w:r w:rsidR="0052691F" w:rsidRPr="008B05F9">
        <w:rPr>
          <w:rFonts w:ascii="Arial" w:hAnsi="Arial" w:cs="Arial"/>
          <w:sz w:val="24"/>
          <w:szCs w:val="24"/>
          <w:lang w:eastAsia="es-MX"/>
        </w:rPr>
        <w:t>,</w:t>
      </w:r>
      <w:r w:rsidR="0054299F" w:rsidRPr="008B05F9">
        <w:rPr>
          <w:rFonts w:ascii="Arial" w:hAnsi="Arial" w:cs="Arial"/>
          <w:sz w:val="24"/>
          <w:szCs w:val="24"/>
          <w:lang w:eastAsia="es-MX"/>
        </w:rPr>
        <w:t xml:space="preserve"> se puede concluir </w:t>
      </w:r>
      <w:r w:rsidR="0052691F" w:rsidRPr="008B05F9">
        <w:rPr>
          <w:rFonts w:ascii="Arial" w:hAnsi="Arial" w:cs="Arial"/>
          <w:sz w:val="24"/>
          <w:szCs w:val="24"/>
          <w:lang w:eastAsia="es-MX"/>
        </w:rPr>
        <w:t xml:space="preserve">que </w:t>
      </w:r>
      <w:r w:rsidR="008B05F9" w:rsidRPr="008B05F9">
        <w:rPr>
          <w:rFonts w:ascii="Arial" w:hAnsi="Arial" w:cs="Arial"/>
          <w:sz w:val="24"/>
          <w:szCs w:val="24"/>
          <w:lang w:eastAsia="es-MX"/>
        </w:rPr>
        <w:t>el Código Electoral prevé que el plazo para</w:t>
      </w:r>
      <w:r w:rsidR="0052691F" w:rsidRPr="008B05F9">
        <w:rPr>
          <w:rFonts w:ascii="Arial" w:hAnsi="Arial" w:cs="Arial"/>
          <w:sz w:val="24"/>
          <w:szCs w:val="24"/>
          <w:lang w:eastAsia="es-MX"/>
        </w:rPr>
        <w:t xml:space="preserve"> </w:t>
      </w:r>
      <w:r w:rsidR="008B05F9" w:rsidRPr="008B05F9">
        <w:rPr>
          <w:rFonts w:ascii="Arial" w:hAnsi="Arial" w:cs="Arial"/>
          <w:sz w:val="24"/>
          <w:szCs w:val="24"/>
          <w:lang w:eastAsia="es-MX"/>
        </w:rPr>
        <w:t xml:space="preserve">presentar algún medio de impugnación, </w:t>
      </w:r>
      <w:r w:rsidR="008B05F9" w:rsidRPr="00C91F5B">
        <w:rPr>
          <w:rFonts w:ascii="Arial" w:hAnsi="Arial" w:cs="Arial"/>
          <w:b/>
          <w:bCs/>
          <w:sz w:val="24"/>
          <w:szCs w:val="24"/>
          <w:lang w:eastAsia="es-MX"/>
        </w:rPr>
        <w:t>será de cuatro días</w:t>
      </w:r>
      <w:r w:rsidR="008B05F9" w:rsidRPr="008B05F9">
        <w:rPr>
          <w:rFonts w:ascii="Arial" w:hAnsi="Arial" w:cs="Arial"/>
          <w:sz w:val="24"/>
          <w:szCs w:val="24"/>
          <w:lang w:eastAsia="es-MX"/>
        </w:rPr>
        <w:t xml:space="preserve"> contados a partir del día siguiente a que se hubiera tenido conocimiento del acto o resolución del que se esté doliendo y, </w:t>
      </w:r>
      <w:proofErr w:type="gramStart"/>
      <w:r w:rsidR="008B05F9" w:rsidRPr="008B05F9">
        <w:rPr>
          <w:rFonts w:ascii="Arial" w:hAnsi="Arial" w:cs="Arial"/>
          <w:sz w:val="24"/>
          <w:szCs w:val="24"/>
          <w:lang w:eastAsia="es-MX"/>
        </w:rPr>
        <w:t>que</w:t>
      </w:r>
      <w:proofErr w:type="gramEnd"/>
      <w:r w:rsidR="008B05F9" w:rsidRPr="008B05F9">
        <w:rPr>
          <w:rFonts w:ascii="Arial" w:hAnsi="Arial" w:cs="Arial"/>
          <w:sz w:val="24"/>
          <w:szCs w:val="24"/>
          <w:lang w:eastAsia="es-MX"/>
        </w:rPr>
        <w:t xml:space="preserve"> </w:t>
      </w:r>
      <w:r w:rsidR="008B05F9" w:rsidRPr="00C91F5B">
        <w:rPr>
          <w:rFonts w:ascii="Arial" w:hAnsi="Arial" w:cs="Arial"/>
          <w:b/>
          <w:bCs/>
          <w:sz w:val="24"/>
          <w:szCs w:val="24"/>
          <w:lang w:eastAsia="es-MX"/>
        </w:rPr>
        <w:t>de presentarse fuera de tal plazo</w:t>
      </w:r>
      <w:r w:rsidR="008B05F9" w:rsidRPr="008B05F9">
        <w:rPr>
          <w:rFonts w:ascii="Arial" w:hAnsi="Arial" w:cs="Arial"/>
          <w:sz w:val="24"/>
          <w:szCs w:val="24"/>
          <w:lang w:eastAsia="es-MX"/>
        </w:rPr>
        <w:t xml:space="preserve">, el medio de impugnación </w:t>
      </w:r>
      <w:r w:rsidR="008B05F9" w:rsidRPr="00C91F5B">
        <w:rPr>
          <w:rFonts w:ascii="Arial" w:hAnsi="Arial" w:cs="Arial"/>
          <w:b/>
          <w:bCs/>
          <w:sz w:val="24"/>
          <w:szCs w:val="24"/>
          <w:lang w:eastAsia="es-MX"/>
        </w:rPr>
        <w:t>será improcedente.</w:t>
      </w:r>
    </w:p>
    <w:p w14:paraId="5AA50FCA" w14:textId="095BAE66" w:rsidR="008B05F9" w:rsidRPr="00F11899" w:rsidRDefault="008B05F9" w:rsidP="004D6F2D">
      <w:pPr>
        <w:pStyle w:val="Sinespaciado"/>
      </w:pPr>
    </w:p>
    <w:p w14:paraId="6F3980BB" w14:textId="54D3BD4B" w:rsidR="008B05F9" w:rsidRPr="008B05F9" w:rsidRDefault="008B05F9" w:rsidP="004D6F2D">
      <w:pPr>
        <w:spacing w:line="360" w:lineRule="auto"/>
        <w:jc w:val="both"/>
        <w:rPr>
          <w:rFonts w:ascii="Arial" w:hAnsi="Arial" w:cs="Arial"/>
          <w:b/>
          <w:bCs/>
          <w:sz w:val="24"/>
          <w:szCs w:val="24"/>
          <w:lang w:eastAsia="es-MX"/>
        </w:rPr>
      </w:pPr>
      <w:r w:rsidRPr="008B05F9">
        <w:rPr>
          <w:rFonts w:ascii="Arial" w:hAnsi="Arial" w:cs="Arial"/>
          <w:b/>
          <w:bCs/>
          <w:sz w:val="24"/>
          <w:szCs w:val="24"/>
          <w:lang w:eastAsia="es-MX"/>
        </w:rPr>
        <w:t>2. Caso concreto</w:t>
      </w:r>
    </w:p>
    <w:p w14:paraId="5A11D97C" w14:textId="032CC634" w:rsidR="008B05F9" w:rsidRPr="00F11899" w:rsidRDefault="008B05F9" w:rsidP="004D6F2D">
      <w:pPr>
        <w:pStyle w:val="Sinespaciado"/>
      </w:pPr>
    </w:p>
    <w:p w14:paraId="092F4F4A" w14:textId="66B21972" w:rsidR="008B05F9" w:rsidRPr="008B05F9" w:rsidRDefault="008B05F9" w:rsidP="004D6F2D">
      <w:pPr>
        <w:spacing w:line="360" w:lineRule="auto"/>
        <w:jc w:val="both"/>
        <w:rPr>
          <w:rFonts w:ascii="Arial" w:hAnsi="Arial" w:cs="Arial"/>
          <w:sz w:val="24"/>
          <w:szCs w:val="24"/>
        </w:rPr>
      </w:pPr>
      <w:r w:rsidRPr="008B05F9">
        <w:rPr>
          <w:rFonts w:ascii="Arial" w:hAnsi="Arial" w:cs="Arial"/>
          <w:sz w:val="24"/>
          <w:szCs w:val="24"/>
          <w:lang w:eastAsia="es-MX"/>
        </w:rPr>
        <w:t xml:space="preserve">En el caso, el promovente señala en su medio de </w:t>
      </w:r>
      <w:r w:rsidR="00C91F5B" w:rsidRPr="008B05F9">
        <w:rPr>
          <w:rFonts w:ascii="Arial" w:hAnsi="Arial" w:cs="Arial"/>
          <w:sz w:val="24"/>
          <w:szCs w:val="24"/>
          <w:lang w:eastAsia="es-MX"/>
        </w:rPr>
        <w:t>impugnación</w:t>
      </w:r>
      <w:r w:rsidRPr="008B05F9">
        <w:rPr>
          <w:rFonts w:ascii="Arial" w:hAnsi="Arial" w:cs="Arial"/>
          <w:sz w:val="24"/>
          <w:szCs w:val="24"/>
          <w:lang w:eastAsia="es-MX"/>
        </w:rPr>
        <w:t xml:space="preserve"> que </w:t>
      </w:r>
      <w:r w:rsidR="00C91F5B">
        <w:rPr>
          <w:rFonts w:ascii="Arial" w:hAnsi="Arial" w:cs="Arial"/>
          <w:sz w:val="24"/>
          <w:szCs w:val="24"/>
          <w:lang w:eastAsia="es-MX"/>
        </w:rPr>
        <w:t>cuestiona</w:t>
      </w:r>
      <w:r w:rsidRPr="008B05F9">
        <w:rPr>
          <w:rFonts w:ascii="Arial" w:hAnsi="Arial" w:cs="Arial"/>
          <w:sz w:val="24"/>
          <w:szCs w:val="24"/>
        </w:rPr>
        <w:t xml:space="preserve"> la resolución de la Comisión Nacional de Honor y Justicia del Partido Encuentro Solidario </w:t>
      </w:r>
      <w:r w:rsidR="00C37E80">
        <w:rPr>
          <w:rFonts w:ascii="Arial" w:hAnsi="Arial" w:cs="Arial"/>
          <w:sz w:val="24"/>
          <w:szCs w:val="24"/>
        </w:rPr>
        <w:t xml:space="preserve">emitida el </w:t>
      </w:r>
      <w:r w:rsidRPr="008B05F9">
        <w:rPr>
          <w:rFonts w:ascii="Arial" w:hAnsi="Arial" w:cs="Arial"/>
          <w:sz w:val="24"/>
          <w:szCs w:val="24"/>
        </w:rPr>
        <w:t xml:space="preserve">13 de abril, que resolvió el medio de impugnación </w:t>
      </w:r>
      <w:r w:rsidR="00C91F5B">
        <w:rPr>
          <w:rFonts w:ascii="Arial" w:hAnsi="Arial" w:cs="Arial"/>
          <w:sz w:val="24"/>
          <w:szCs w:val="24"/>
        </w:rPr>
        <w:t xml:space="preserve">presentado </w:t>
      </w:r>
      <w:r w:rsidRPr="008B05F9">
        <w:rPr>
          <w:rFonts w:ascii="Arial" w:hAnsi="Arial" w:cs="Arial"/>
          <w:sz w:val="24"/>
          <w:szCs w:val="24"/>
        </w:rPr>
        <w:t xml:space="preserve">por el promovente en el juicio ciudadano </w:t>
      </w:r>
      <w:r w:rsidR="00C91F5B">
        <w:rPr>
          <w:rFonts w:ascii="Arial" w:hAnsi="Arial" w:cs="Arial"/>
          <w:sz w:val="24"/>
          <w:szCs w:val="24"/>
        </w:rPr>
        <w:t>(</w:t>
      </w:r>
      <w:r w:rsidRPr="008B05F9">
        <w:rPr>
          <w:rFonts w:ascii="Arial" w:hAnsi="Arial" w:cs="Arial"/>
          <w:sz w:val="24"/>
          <w:szCs w:val="24"/>
        </w:rPr>
        <w:t>TEEA-JDC-043/2021</w:t>
      </w:r>
      <w:r w:rsidR="00C91F5B">
        <w:rPr>
          <w:rFonts w:ascii="Arial" w:hAnsi="Arial" w:cs="Arial"/>
          <w:sz w:val="24"/>
          <w:szCs w:val="24"/>
        </w:rPr>
        <w:t>)</w:t>
      </w:r>
      <w:r w:rsidR="00F11899">
        <w:rPr>
          <w:rFonts w:ascii="Arial" w:hAnsi="Arial" w:cs="Arial"/>
          <w:sz w:val="24"/>
          <w:szCs w:val="24"/>
        </w:rPr>
        <w:t xml:space="preserve">, el cual manifiesta </w:t>
      </w:r>
      <w:r w:rsidR="00E166D6">
        <w:rPr>
          <w:rFonts w:ascii="Arial" w:hAnsi="Arial" w:cs="Arial"/>
          <w:sz w:val="24"/>
          <w:szCs w:val="24"/>
        </w:rPr>
        <w:t xml:space="preserve">de forma expresa </w:t>
      </w:r>
      <w:r w:rsidR="00F11899">
        <w:rPr>
          <w:rFonts w:ascii="Arial" w:hAnsi="Arial" w:cs="Arial"/>
          <w:sz w:val="24"/>
          <w:szCs w:val="24"/>
        </w:rPr>
        <w:t>que le fue notificado en fecha</w:t>
      </w:r>
      <w:r w:rsidRPr="008B05F9">
        <w:rPr>
          <w:rFonts w:ascii="Arial" w:hAnsi="Arial" w:cs="Arial"/>
          <w:sz w:val="24"/>
          <w:szCs w:val="24"/>
        </w:rPr>
        <w:t xml:space="preserve"> 28 de abril</w:t>
      </w:r>
      <w:r w:rsidR="00F11899">
        <w:rPr>
          <w:rFonts w:ascii="Arial" w:hAnsi="Arial" w:cs="Arial"/>
          <w:sz w:val="24"/>
          <w:szCs w:val="24"/>
        </w:rPr>
        <w:t>.</w:t>
      </w:r>
    </w:p>
    <w:p w14:paraId="1DDCAE3B" w14:textId="77777777" w:rsidR="008B05F9" w:rsidRPr="00F11899" w:rsidRDefault="008B05F9" w:rsidP="00F11899">
      <w:pPr>
        <w:pStyle w:val="Sinespaciado"/>
      </w:pPr>
    </w:p>
    <w:p w14:paraId="3D946060" w14:textId="2E6DF2A0" w:rsidR="005C7ACD" w:rsidRPr="008B05F9" w:rsidRDefault="008B05F9" w:rsidP="005C7ACD">
      <w:pPr>
        <w:pStyle w:val="Sinespaciado"/>
        <w:spacing w:line="360" w:lineRule="auto"/>
        <w:ind w:right="49"/>
        <w:jc w:val="both"/>
        <w:rPr>
          <w:rFonts w:ascii="Arial" w:hAnsi="Arial" w:cs="Arial"/>
          <w:b/>
          <w:bCs/>
          <w:sz w:val="24"/>
          <w:szCs w:val="24"/>
          <w:lang w:eastAsia="es-MX"/>
        </w:rPr>
      </w:pPr>
      <w:r w:rsidRPr="008B05F9">
        <w:rPr>
          <w:rFonts w:ascii="Arial" w:hAnsi="Arial" w:cs="Arial"/>
          <w:b/>
          <w:bCs/>
          <w:sz w:val="24"/>
          <w:szCs w:val="24"/>
          <w:lang w:eastAsia="es-MX"/>
        </w:rPr>
        <w:t xml:space="preserve">3. </w:t>
      </w:r>
      <w:r w:rsidR="005C7ACD" w:rsidRPr="008B05F9">
        <w:rPr>
          <w:rFonts w:ascii="Arial" w:hAnsi="Arial" w:cs="Arial"/>
          <w:b/>
          <w:bCs/>
          <w:sz w:val="24"/>
          <w:szCs w:val="24"/>
          <w:lang w:eastAsia="es-MX"/>
        </w:rPr>
        <w:t xml:space="preserve">Valoración </w:t>
      </w:r>
    </w:p>
    <w:p w14:paraId="773EC58C" w14:textId="3E2D9162" w:rsidR="00602B47" w:rsidRPr="00E166D6" w:rsidRDefault="00602B47" w:rsidP="00E166D6">
      <w:pPr>
        <w:pStyle w:val="Sinespaciado"/>
      </w:pPr>
    </w:p>
    <w:p w14:paraId="101B3175" w14:textId="43DF549C" w:rsidR="003C2AE6" w:rsidRPr="008B05F9" w:rsidRDefault="008B05F9" w:rsidP="00F77408">
      <w:pPr>
        <w:spacing w:line="360" w:lineRule="auto"/>
        <w:jc w:val="both"/>
        <w:rPr>
          <w:rFonts w:ascii="Arial" w:hAnsi="Arial" w:cs="Arial"/>
          <w:sz w:val="24"/>
          <w:szCs w:val="24"/>
        </w:rPr>
      </w:pPr>
      <w:r w:rsidRPr="008B05F9">
        <w:rPr>
          <w:rFonts w:ascii="Arial" w:hAnsi="Arial" w:cs="Arial"/>
          <w:sz w:val="24"/>
          <w:szCs w:val="24"/>
        </w:rPr>
        <w:t>Como se adelantó, e</w:t>
      </w:r>
      <w:r w:rsidR="003C2AE6" w:rsidRPr="008B05F9">
        <w:rPr>
          <w:rFonts w:ascii="Arial" w:hAnsi="Arial" w:cs="Arial"/>
          <w:sz w:val="24"/>
          <w:szCs w:val="24"/>
        </w:rPr>
        <w:t>ste Tribuna</w:t>
      </w:r>
      <w:r w:rsidR="0054299F" w:rsidRPr="008B05F9">
        <w:rPr>
          <w:rFonts w:ascii="Arial" w:hAnsi="Arial" w:cs="Arial"/>
          <w:sz w:val="24"/>
          <w:szCs w:val="24"/>
        </w:rPr>
        <w:t xml:space="preserve">l considera que </w:t>
      </w:r>
      <w:r w:rsidRPr="008B05F9">
        <w:rPr>
          <w:rFonts w:ascii="Arial" w:hAnsi="Arial" w:cs="Arial"/>
          <w:sz w:val="24"/>
          <w:szCs w:val="24"/>
        </w:rPr>
        <w:t xml:space="preserve">la presente demanda es extemporánea y, por tanto, improcedente. Ello porque </w:t>
      </w:r>
      <w:r w:rsidR="0054299F" w:rsidRPr="008B05F9">
        <w:rPr>
          <w:rFonts w:ascii="Arial" w:hAnsi="Arial" w:cs="Arial"/>
          <w:sz w:val="24"/>
          <w:szCs w:val="24"/>
        </w:rPr>
        <w:t xml:space="preserve">el plazo legal de </w:t>
      </w:r>
      <w:r w:rsidRPr="008B05F9">
        <w:rPr>
          <w:rFonts w:ascii="Arial" w:hAnsi="Arial" w:cs="Arial"/>
          <w:sz w:val="24"/>
          <w:szCs w:val="24"/>
        </w:rPr>
        <w:t>cuatro</w:t>
      </w:r>
      <w:r w:rsidR="0054299F" w:rsidRPr="008B05F9">
        <w:rPr>
          <w:rFonts w:ascii="Arial" w:hAnsi="Arial" w:cs="Arial"/>
          <w:sz w:val="24"/>
          <w:szCs w:val="24"/>
        </w:rPr>
        <w:t xml:space="preserve"> días para impugnar la resolución </w:t>
      </w:r>
      <w:r w:rsidRPr="008B05F9">
        <w:rPr>
          <w:rFonts w:ascii="Arial" w:hAnsi="Arial" w:cs="Arial"/>
          <w:sz w:val="24"/>
          <w:szCs w:val="24"/>
        </w:rPr>
        <w:t xml:space="preserve">de la </w:t>
      </w:r>
      <w:r w:rsidR="0054299F" w:rsidRPr="008B05F9">
        <w:rPr>
          <w:rFonts w:ascii="Arial" w:hAnsi="Arial" w:cs="Arial"/>
          <w:sz w:val="24"/>
          <w:szCs w:val="24"/>
        </w:rPr>
        <w:t xml:space="preserve">CNHJ </w:t>
      </w:r>
      <w:r w:rsidRPr="008B05F9">
        <w:rPr>
          <w:rFonts w:ascii="Arial" w:hAnsi="Arial" w:cs="Arial"/>
          <w:sz w:val="24"/>
          <w:szCs w:val="24"/>
        </w:rPr>
        <w:t xml:space="preserve">del PES, </w:t>
      </w:r>
      <w:bookmarkStart w:id="10" w:name="_Hlk71709425"/>
      <w:r w:rsidR="0054299F" w:rsidRPr="008B05F9">
        <w:rPr>
          <w:rFonts w:ascii="Arial" w:hAnsi="Arial" w:cs="Arial"/>
          <w:sz w:val="24"/>
          <w:szCs w:val="24"/>
        </w:rPr>
        <w:t>transcurrió del día 29</w:t>
      </w:r>
      <w:r w:rsidR="00D477BE" w:rsidRPr="008B05F9">
        <w:rPr>
          <w:rFonts w:ascii="Arial" w:hAnsi="Arial" w:cs="Arial"/>
          <w:sz w:val="24"/>
          <w:szCs w:val="24"/>
        </w:rPr>
        <w:t xml:space="preserve"> de abril</w:t>
      </w:r>
      <w:r w:rsidR="0054299F" w:rsidRPr="008B05F9">
        <w:rPr>
          <w:rFonts w:ascii="Arial" w:hAnsi="Arial" w:cs="Arial"/>
          <w:sz w:val="24"/>
          <w:szCs w:val="24"/>
        </w:rPr>
        <w:t xml:space="preserve"> al 2 de mayo</w:t>
      </w:r>
      <w:r w:rsidRPr="008B05F9">
        <w:rPr>
          <w:rFonts w:ascii="Arial" w:hAnsi="Arial" w:cs="Arial"/>
          <w:sz w:val="24"/>
          <w:szCs w:val="24"/>
        </w:rPr>
        <w:t>.</w:t>
      </w:r>
      <w:bookmarkEnd w:id="10"/>
    </w:p>
    <w:p w14:paraId="077B8C9C" w14:textId="77777777" w:rsidR="008B05F9" w:rsidRPr="00E166D6" w:rsidRDefault="008B05F9" w:rsidP="00E166D6">
      <w:pPr>
        <w:pStyle w:val="Sinespaciado"/>
      </w:pPr>
    </w:p>
    <w:p w14:paraId="2998FF3C" w14:textId="00A013C0" w:rsidR="0054299F" w:rsidRDefault="0054299F" w:rsidP="00F77408">
      <w:pPr>
        <w:spacing w:line="360" w:lineRule="auto"/>
        <w:jc w:val="both"/>
        <w:rPr>
          <w:rFonts w:ascii="Arial" w:hAnsi="Arial" w:cs="Arial"/>
          <w:sz w:val="24"/>
          <w:szCs w:val="24"/>
        </w:rPr>
      </w:pPr>
      <w:r w:rsidRPr="008B05F9">
        <w:rPr>
          <w:rFonts w:ascii="Arial" w:hAnsi="Arial" w:cs="Arial"/>
          <w:sz w:val="24"/>
          <w:szCs w:val="24"/>
        </w:rPr>
        <w:t xml:space="preserve">De ahí </w:t>
      </w:r>
      <w:r w:rsidR="0033701D" w:rsidRPr="008B05F9">
        <w:rPr>
          <w:rFonts w:ascii="Arial" w:hAnsi="Arial" w:cs="Arial"/>
          <w:sz w:val="24"/>
          <w:szCs w:val="24"/>
        </w:rPr>
        <w:t>que, si </w:t>
      </w:r>
      <w:r w:rsidR="0033701D" w:rsidRPr="008B05F9">
        <w:rPr>
          <w:rFonts w:ascii="Arial" w:hAnsi="Arial" w:cs="Arial"/>
          <w:b/>
          <w:bCs/>
          <w:sz w:val="24"/>
          <w:szCs w:val="24"/>
        </w:rPr>
        <w:t>la demanda </w:t>
      </w:r>
      <w:r w:rsidR="00FA162C">
        <w:rPr>
          <w:rFonts w:ascii="Arial" w:hAnsi="Arial" w:cs="Arial"/>
          <w:b/>
          <w:bCs/>
          <w:sz w:val="24"/>
          <w:szCs w:val="24"/>
        </w:rPr>
        <w:t xml:space="preserve">se </w:t>
      </w:r>
      <w:r w:rsidR="0033701D" w:rsidRPr="008B05F9">
        <w:rPr>
          <w:rFonts w:ascii="Arial" w:hAnsi="Arial" w:cs="Arial"/>
          <w:b/>
          <w:bCs/>
          <w:sz w:val="24"/>
          <w:szCs w:val="24"/>
        </w:rPr>
        <w:t>presentó</w:t>
      </w:r>
      <w:r w:rsidR="0033701D" w:rsidRPr="008B05F9">
        <w:rPr>
          <w:rFonts w:ascii="Arial" w:hAnsi="Arial" w:cs="Arial"/>
          <w:sz w:val="24"/>
          <w:szCs w:val="24"/>
        </w:rPr>
        <w:t xml:space="preserve"> en este Tribunal el miércoles </w:t>
      </w:r>
      <w:r w:rsidR="0033701D" w:rsidRPr="008B05F9">
        <w:rPr>
          <w:rFonts w:ascii="Arial" w:hAnsi="Arial" w:cs="Arial"/>
          <w:b/>
          <w:bCs/>
          <w:sz w:val="24"/>
          <w:szCs w:val="24"/>
        </w:rPr>
        <w:t>5 de mayo</w:t>
      </w:r>
      <w:r w:rsidR="0033701D" w:rsidRPr="008B05F9">
        <w:rPr>
          <w:rFonts w:ascii="Arial" w:hAnsi="Arial" w:cs="Arial"/>
          <w:sz w:val="24"/>
          <w:szCs w:val="24"/>
        </w:rPr>
        <w:t>, es evidente su</w:t>
      </w:r>
      <w:r w:rsidR="00E166D6">
        <w:rPr>
          <w:rFonts w:ascii="Arial" w:hAnsi="Arial" w:cs="Arial"/>
          <w:sz w:val="24"/>
          <w:szCs w:val="24"/>
        </w:rPr>
        <w:t xml:space="preserve"> </w:t>
      </w:r>
      <w:r w:rsidR="0033701D" w:rsidRPr="008B05F9">
        <w:rPr>
          <w:rFonts w:ascii="Arial" w:hAnsi="Arial" w:cs="Arial"/>
          <w:sz w:val="24"/>
          <w:szCs w:val="24"/>
        </w:rPr>
        <w:t>presentación </w:t>
      </w:r>
      <w:r w:rsidR="0033701D" w:rsidRPr="008B05F9">
        <w:rPr>
          <w:rFonts w:ascii="Arial" w:hAnsi="Arial" w:cs="Arial"/>
          <w:b/>
          <w:bCs/>
          <w:sz w:val="24"/>
          <w:szCs w:val="24"/>
        </w:rPr>
        <w:t>fuera de plazo</w:t>
      </w:r>
      <w:r w:rsidR="0033701D" w:rsidRPr="008B05F9">
        <w:rPr>
          <w:rFonts w:ascii="Arial" w:hAnsi="Arial" w:cs="Arial"/>
          <w:sz w:val="24"/>
          <w:szCs w:val="24"/>
        </w:rPr>
        <w:t> y, en consecuencia, su extemporaneidad</w:t>
      </w:r>
      <w:r w:rsidR="008B05F9" w:rsidRPr="008B05F9">
        <w:rPr>
          <w:rFonts w:ascii="Arial" w:hAnsi="Arial" w:cs="Arial"/>
          <w:sz w:val="24"/>
          <w:szCs w:val="24"/>
        </w:rPr>
        <w:t>, tal y como se ilustra en la siguiente tabla:</w:t>
      </w:r>
    </w:p>
    <w:p w14:paraId="04BEF60D" w14:textId="77777777" w:rsidR="004D6F2D" w:rsidRDefault="004D6F2D" w:rsidP="00F11899">
      <w:pPr>
        <w:pStyle w:val="Sinespaciado"/>
      </w:pPr>
    </w:p>
    <w:tbl>
      <w:tblPr>
        <w:tblStyle w:val="Tablanormal1"/>
        <w:tblW w:w="0" w:type="auto"/>
        <w:tblLook w:val="04A0" w:firstRow="1" w:lastRow="0" w:firstColumn="1" w:lastColumn="0" w:noHBand="0" w:noVBand="1"/>
      </w:tblPr>
      <w:tblGrid>
        <w:gridCol w:w="1224"/>
        <w:gridCol w:w="1175"/>
        <w:gridCol w:w="2132"/>
        <w:gridCol w:w="1276"/>
        <w:gridCol w:w="1276"/>
        <w:gridCol w:w="1276"/>
        <w:gridCol w:w="1319"/>
      </w:tblGrid>
      <w:tr w:rsidR="0033701D" w:rsidRPr="004D6F2D" w14:paraId="55C89E78" w14:textId="77777777" w:rsidTr="00134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Pr>
          <w:p w14:paraId="6C42B28C" w14:textId="51B98395" w:rsidR="0033701D" w:rsidRPr="004D6F2D" w:rsidRDefault="00D477BE" w:rsidP="0033701D">
            <w:pPr>
              <w:spacing w:line="360" w:lineRule="auto"/>
              <w:jc w:val="center"/>
              <w:rPr>
                <w:rFonts w:ascii="Arial" w:hAnsi="Arial" w:cs="Arial"/>
                <w:sz w:val="18"/>
                <w:szCs w:val="18"/>
              </w:rPr>
            </w:pPr>
            <w:r w:rsidRPr="004D6F2D">
              <w:rPr>
                <w:rFonts w:ascii="Arial" w:hAnsi="Arial" w:cs="Arial"/>
                <w:sz w:val="18"/>
                <w:szCs w:val="18"/>
              </w:rPr>
              <w:t>Abril-</w:t>
            </w:r>
            <w:proofErr w:type="gramStart"/>
            <w:r w:rsidR="0033701D" w:rsidRPr="004D6F2D">
              <w:rPr>
                <w:rFonts w:ascii="Arial" w:hAnsi="Arial" w:cs="Arial"/>
                <w:sz w:val="18"/>
                <w:szCs w:val="18"/>
              </w:rPr>
              <w:t>Mayo</w:t>
            </w:r>
            <w:proofErr w:type="gramEnd"/>
            <w:r w:rsidR="0033701D" w:rsidRPr="004D6F2D">
              <w:rPr>
                <w:rFonts w:ascii="Arial" w:hAnsi="Arial" w:cs="Arial"/>
                <w:sz w:val="18"/>
                <w:szCs w:val="18"/>
              </w:rPr>
              <w:t xml:space="preserve"> 2021</w:t>
            </w:r>
          </w:p>
        </w:tc>
      </w:tr>
      <w:tr w:rsidR="008B05F9" w:rsidRPr="004D6F2D" w14:paraId="6A30C233" w14:textId="77777777" w:rsidTr="008B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dxa"/>
          </w:tcPr>
          <w:p w14:paraId="0C7433F2" w14:textId="0D853F9F" w:rsidR="0033701D" w:rsidRPr="004D6F2D" w:rsidRDefault="0033701D" w:rsidP="008B05F9">
            <w:pPr>
              <w:spacing w:line="360" w:lineRule="auto"/>
              <w:jc w:val="center"/>
              <w:rPr>
                <w:rFonts w:ascii="Arial" w:hAnsi="Arial" w:cs="Arial"/>
                <w:bCs w:val="0"/>
                <w:sz w:val="18"/>
                <w:szCs w:val="18"/>
              </w:rPr>
            </w:pPr>
            <w:r w:rsidRPr="004D6F2D">
              <w:rPr>
                <w:rFonts w:ascii="Arial" w:hAnsi="Arial" w:cs="Arial"/>
                <w:bCs w:val="0"/>
                <w:sz w:val="18"/>
                <w:szCs w:val="18"/>
              </w:rPr>
              <w:t>Lunes</w:t>
            </w:r>
            <w:r w:rsidR="008B05F9" w:rsidRPr="004D6F2D">
              <w:rPr>
                <w:rFonts w:ascii="Arial" w:hAnsi="Arial" w:cs="Arial"/>
                <w:bCs w:val="0"/>
                <w:sz w:val="18"/>
                <w:szCs w:val="18"/>
              </w:rPr>
              <w:t xml:space="preserve"> 26</w:t>
            </w:r>
          </w:p>
        </w:tc>
        <w:tc>
          <w:tcPr>
            <w:tcW w:w="1175" w:type="dxa"/>
          </w:tcPr>
          <w:p w14:paraId="60F96FED" w14:textId="4BE670FB" w:rsidR="0033701D" w:rsidRPr="004D6F2D" w:rsidRDefault="0033701D"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Martes</w:t>
            </w:r>
            <w:r w:rsidR="008B05F9" w:rsidRPr="004D6F2D">
              <w:rPr>
                <w:rFonts w:ascii="Arial" w:hAnsi="Arial" w:cs="Arial"/>
                <w:b/>
                <w:sz w:val="18"/>
                <w:szCs w:val="18"/>
              </w:rPr>
              <w:t xml:space="preserve"> 27</w:t>
            </w:r>
          </w:p>
        </w:tc>
        <w:tc>
          <w:tcPr>
            <w:tcW w:w="2132" w:type="dxa"/>
          </w:tcPr>
          <w:p w14:paraId="5C47CCF5" w14:textId="62892C31" w:rsidR="0033701D" w:rsidRPr="004D6F2D" w:rsidRDefault="0033701D"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Miércoles</w:t>
            </w:r>
            <w:r w:rsidR="00D477BE" w:rsidRPr="004D6F2D">
              <w:rPr>
                <w:rFonts w:ascii="Arial" w:hAnsi="Arial" w:cs="Arial"/>
                <w:b/>
                <w:sz w:val="18"/>
                <w:szCs w:val="18"/>
              </w:rPr>
              <w:t xml:space="preserve"> 28</w:t>
            </w:r>
          </w:p>
        </w:tc>
        <w:tc>
          <w:tcPr>
            <w:tcW w:w="1276" w:type="dxa"/>
          </w:tcPr>
          <w:p w14:paraId="498EC87E" w14:textId="437139EE" w:rsidR="0033701D" w:rsidRPr="004D6F2D" w:rsidRDefault="0033701D"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 xml:space="preserve">Jueves </w:t>
            </w:r>
            <w:r w:rsidR="00D477BE" w:rsidRPr="004D6F2D">
              <w:rPr>
                <w:rFonts w:ascii="Arial" w:hAnsi="Arial" w:cs="Arial"/>
                <w:b/>
                <w:sz w:val="18"/>
                <w:szCs w:val="18"/>
              </w:rPr>
              <w:t>29</w:t>
            </w:r>
          </w:p>
        </w:tc>
        <w:tc>
          <w:tcPr>
            <w:tcW w:w="1276" w:type="dxa"/>
          </w:tcPr>
          <w:p w14:paraId="05AE5C6C" w14:textId="69C8290A" w:rsidR="00D477BE" w:rsidRPr="004D6F2D" w:rsidRDefault="0033701D"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 xml:space="preserve">Viernes </w:t>
            </w:r>
            <w:r w:rsidR="00D477BE" w:rsidRPr="004D6F2D">
              <w:rPr>
                <w:rFonts w:ascii="Arial" w:hAnsi="Arial" w:cs="Arial"/>
                <w:b/>
                <w:sz w:val="18"/>
                <w:szCs w:val="18"/>
              </w:rPr>
              <w:t>30</w:t>
            </w:r>
          </w:p>
        </w:tc>
        <w:tc>
          <w:tcPr>
            <w:tcW w:w="1276" w:type="dxa"/>
          </w:tcPr>
          <w:p w14:paraId="0D1C5C20" w14:textId="3EDB4CB5" w:rsidR="00D477BE" w:rsidRPr="004D6F2D" w:rsidRDefault="0033701D"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 xml:space="preserve">Sábado </w:t>
            </w:r>
            <w:r w:rsidR="00D477BE" w:rsidRPr="004D6F2D">
              <w:rPr>
                <w:rFonts w:ascii="Arial" w:hAnsi="Arial" w:cs="Arial"/>
                <w:b/>
                <w:sz w:val="18"/>
                <w:szCs w:val="18"/>
              </w:rPr>
              <w:t>1</w:t>
            </w:r>
          </w:p>
        </w:tc>
        <w:tc>
          <w:tcPr>
            <w:tcW w:w="1319" w:type="dxa"/>
          </w:tcPr>
          <w:p w14:paraId="1406F6A5" w14:textId="7E1AA10E" w:rsidR="00D477BE" w:rsidRPr="004D6F2D" w:rsidRDefault="0033701D"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 xml:space="preserve">Domingo </w:t>
            </w:r>
            <w:r w:rsidR="00D477BE" w:rsidRPr="004D6F2D">
              <w:rPr>
                <w:rFonts w:ascii="Arial" w:hAnsi="Arial" w:cs="Arial"/>
                <w:b/>
                <w:sz w:val="18"/>
                <w:szCs w:val="18"/>
              </w:rPr>
              <w:t>2</w:t>
            </w:r>
          </w:p>
        </w:tc>
      </w:tr>
      <w:tr w:rsidR="008B05F9" w:rsidRPr="004D6F2D" w14:paraId="340E242F" w14:textId="77777777" w:rsidTr="00E166D6">
        <w:trPr>
          <w:trHeight w:val="1036"/>
        </w:trPr>
        <w:tc>
          <w:tcPr>
            <w:cnfStyle w:val="001000000000" w:firstRow="0" w:lastRow="0" w:firstColumn="1" w:lastColumn="0" w:oddVBand="0" w:evenVBand="0" w:oddHBand="0" w:evenHBand="0" w:firstRowFirstColumn="0" w:firstRowLastColumn="0" w:lastRowFirstColumn="0" w:lastRowLastColumn="0"/>
            <w:tcW w:w="1224" w:type="dxa"/>
          </w:tcPr>
          <w:p w14:paraId="3CFC5432" w14:textId="0566CD64" w:rsidR="008B05F9" w:rsidRPr="004D6F2D" w:rsidRDefault="008B05F9" w:rsidP="004E0652">
            <w:pPr>
              <w:spacing w:line="360" w:lineRule="auto"/>
              <w:jc w:val="both"/>
              <w:rPr>
                <w:rFonts w:ascii="Arial" w:hAnsi="Arial" w:cs="Arial"/>
                <w:b w:val="0"/>
                <w:sz w:val="18"/>
                <w:szCs w:val="18"/>
              </w:rPr>
            </w:pPr>
          </w:p>
        </w:tc>
        <w:tc>
          <w:tcPr>
            <w:tcW w:w="1175" w:type="dxa"/>
          </w:tcPr>
          <w:p w14:paraId="3736E12D" w14:textId="7D6777AB" w:rsidR="008B05F9" w:rsidRPr="004D6F2D" w:rsidRDefault="008B05F9" w:rsidP="004E065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32" w:type="dxa"/>
          </w:tcPr>
          <w:p w14:paraId="130D911E" w14:textId="41015068"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6F2D">
              <w:rPr>
                <w:rFonts w:ascii="Arial" w:hAnsi="Arial" w:cs="Arial"/>
                <w:sz w:val="18"/>
                <w:szCs w:val="18"/>
              </w:rPr>
              <w:t>Fecha en que el promovente refiere que se le notificó la resolución partidista</w:t>
            </w:r>
          </w:p>
        </w:tc>
        <w:tc>
          <w:tcPr>
            <w:tcW w:w="1276" w:type="dxa"/>
          </w:tcPr>
          <w:p w14:paraId="0A84ED9D" w14:textId="0D43BE4E"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6F2D">
              <w:rPr>
                <w:rFonts w:ascii="Arial" w:hAnsi="Arial" w:cs="Arial"/>
                <w:sz w:val="18"/>
                <w:szCs w:val="18"/>
              </w:rPr>
              <w:t>Día 1 para impugnar</w:t>
            </w:r>
          </w:p>
        </w:tc>
        <w:tc>
          <w:tcPr>
            <w:tcW w:w="1276" w:type="dxa"/>
          </w:tcPr>
          <w:p w14:paraId="289C5EFA" w14:textId="560341AA"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6F2D">
              <w:rPr>
                <w:rFonts w:ascii="Arial" w:hAnsi="Arial" w:cs="Arial"/>
                <w:sz w:val="18"/>
                <w:szCs w:val="18"/>
              </w:rPr>
              <w:t>Día 2 para impugnar</w:t>
            </w:r>
          </w:p>
        </w:tc>
        <w:tc>
          <w:tcPr>
            <w:tcW w:w="1276" w:type="dxa"/>
          </w:tcPr>
          <w:p w14:paraId="11F4667A" w14:textId="02256EC4"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6F2D">
              <w:rPr>
                <w:rFonts w:ascii="Arial" w:hAnsi="Arial" w:cs="Arial"/>
                <w:sz w:val="18"/>
                <w:szCs w:val="18"/>
              </w:rPr>
              <w:t>Día 3 para impugnar</w:t>
            </w:r>
          </w:p>
        </w:tc>
        <w:tc>
          <w:tcPr>
            <w:tcW w:w="1319" w:type="dxa"/>
          </w:tcPr>
          <w:p w14:paraId="680C1F00" w14:textId="0A47641B"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6F2D">
              <w:rPr>
                <w:rFonts w:ascii="Arial" w:hAnsi="Arial" w:cs="Arial"/>
                <w:sz w:val="18"/>
                <w:szCs w:val="18"/>
              </w:rPr>
              <w:t>Día 4 para impugnar</w:t>
            </w:r>
          </w:p>
        </w:tc>
      </w:tr>
      <w:tr w:rsidR="008B05F9" w:rsidRPr="004D6F2D" w14:paraId="29FA2921" w14:textId="77777777" w:rsidTr="008B0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dxa"/>
          </w:tcPr>
          <w:p w14:paraId="4DE1877C" w14:textId="43AF1487" w:rsidR="00D477BE" w:rsidRPr="004D6F2D" w:rsidRDefault="008B05F9" w:rsidP="008B05F9">
            <w:pPr>
              <w:spacing w:line="360" w:lineRule="auto"/>
              <w:jc w:val="center"/>
              <w:rPr>
                <w:rFonts w:ascii="Arial" w:hAnsi="Arial" w:cs="Arial"/>
                <w:bCs w:val="0"/>
                <w:sz w:val="18"/>
                <w:szCs w:val="18"/>
              </w:rPr>
            </w:pPr>
            <w:r w:rsidRPr="004D6F2D">
              <w:rPr>
                <w:rFonts w:ascii="Arial" w:hAnsi="Arial" w:cs="Arial"/>
                <w:bCs w:val="0"/>
                <w:sz w:val="18"/>
                <w:szCs w:val="18"/>
              </w:rPr>
              <w:t>Lunes 3</w:t>
            </w:r>
          </w:p>
        </w:tc>
        <w:tc>
          <w:tcPr>
            <w:tcW w:w="1175" w:type="dxa"/>
          </w:tcPr>
          <w:p w14:paraId="601776BD" w14:textId="3DAC8E21" w:rsidR="00D477BE" w:rsidRPr="004D6F2D" w:rsidRDefault="008B05F9"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 xml:space="preserve">Martes </w:t>
            </w:r>
            <w:r w:rsidR="00D477BE" w:rsidRPr="004D6F2D">
              <w:rPr>
                <w:rFonts w:ascii="Arial" w:hAnsi="Arial" w:cs="Arial"/>
                <w:b/>
                <w:sz w:val="18"/>
                <w:szCs w:val="18"/>
              </w:rPr>
              <w:t>4</w:t>
            </w:r>
          </w:p>
        </w:tc>
        <w:tc>
          <w:tcPr>
            <w:tcW w:w="2132" w:type="dxa"/>
          </w:tcPr>
          <w:p w14:paraId="7F331091" w14:textId="29C7AA65" w:rsidR="00D477BE" w:rsidRPr="004D6F2D" w:rsidRDefault="008B05F9"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 xml:space="preserve">Miércoles </w:t>
            </w:r>
            <w:r w:rsidR="00D477BE" w:rsidRPr="004D6F2D">
              <w:rPr>
                <w:rFonts w:ascii="Arial" w:hAnsi="Arial" w:cs="Arial"/>
                <w:b/>
                <w:sz w:val="18"/>
                <w:szCs w:val="18"/>
              </w:rPr>
              <w:t>5</w:t>
            </w:r>
          </w:p>
        </w:tc>
        <w:tc>
          <w:tcPr>
            <w:tcW w:w="1276" w:type="dxa"/>
          </w:tcPr>
          <w:p w14:paraId="650F77B2" w14:textId="179ECB32" w:rsidR="00D477BE" w:rsidRPr="004D6F2D" w:rsidRDefault="008B05F9"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Jueves 6</w:t>
            </w:r>
          </w:p>
        </w:tc>
        <w:tc>
          <w:tcPr>
            <w:tcW w:w="1276" w:type="dxa"/>
          </w:tcPr>
          <w:p w14:paraId="1D6FCC98" w14:textId="2F8D70AF" w:rsidR="00D477BE" w:rsidRPr="004D6F2D" w:rsidRDefault="008B05F9"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Viernes 7</w:t>
            </w:r>
          </w:p>
        </w:tc>
        <w:tc>
          <w:tcPr>
            <w:tcW w:w="1276" w:type="dxa"/>
          </w:tcPr>
          <w:p w14:paraId="6508B065" w14:textId="74292C05" w:rsidR="00D477BE" w:rsidRPr="004D6F2D" w:rsidRDefault="008B05F9"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Sábado 8</w:t>
            </w:r>
          </w:p>
        </w:tc>
        <w:tc>
          <w:tcPr>
            <w:tcW w:w="1319" w:type="dxa"/>
          </w:tcPr>
          <w:p w14:paraId="1963EFFB" w14:textId="0CF4E37B" w:rsidR="00D477BE" w:rsidRPr="004D6F2D" w:rsidRDefault="008B05F9" w:rsidP="008B05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D6F2D">
              <w:rPr>
                <w:rFonts w:ascii="Arial" w:hAnsi="Arial" w:cs="Arial"/>
                <w:b/>
                <w:sz w:val="18"/>
                <w:szCs w:val="18"/>
              </w:rPr>
              <w:t>Domingo 9</w:t>
            </w:r>
          </w:p>
        </w:tc>
      </w:tr>
      <w:tr w:rsidR="008B05F9" w:rsidRPr="004D6F2D" w14:paraId="523EFA56" w14:textId="77777777" w:rsidTr="008B05F9">
        <w:tc>
          <w:tcPr>
            <w:cnfStyle w:val="001000000000" w:firstRow="0" w:lastRow="0" w:firstColumn="1" w:lastColumn="0" w:oddVBand="0" w:evenVBand="0" w:oddHBand="0" w:evenHBand="0" w:firstRowFirstColumn="0" w:firstRowLastColumn="0" w:lastRowFirstColumn="0" w:lastRowLastColumn="0"/>
            <w:tcW w:w="1224" w:type="dxa"/>
          </w:tcPr>
          <w:p w14:paraId="7677B676" w14:textId="3D2B4BA2" w:rsidR="008B05F9" w:rsidRPr="004D6F2D" w:rsidRDefault="008B05F9" w:rsidP="00E166D6">
            <w:pPr>
              <w:jc w:val="both"/>
              <w:rPr>
                <w:rFonts w:ascii="Arial" w:hAnsi="Arial" w:cs="Arial"/>
                <w:b w:val="0"/>
                <w:sz w:val="18"/>
                <w:szCs w:val="18"/>
              </w:rPr>
            </w:pPr>
            <w:r w:rsidRPr="004D6F2D">
              <w:rPr>
                <w:rFonts w:ascii="Arial" w:hAnsi="Arial" w:cs="Arial"/>
                <w:b w:val="0"/>
                <w:sz w:val="18"/>
                <w:szCs w:val="18"/>
              </w:rPr>
              <w:t>Fuera de plazo</w:t>
            </w:r>
          </w:p>
        </w:tc>
        <w:tc>
          <w:tcPr>
            <w:tcW w:w="1175" w:type="dxa"/>
          </w:tcPr>
          <w:p w14:paraId="699FB949" w14:textId="5E6805ED"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D6F2D">
              <w:rPr>
                <w:rFonts w:ascii="Arial" w:hAnsi="Arial" w:cs="Arial"/>
                <w:bCs/>
                <w:sz w:val="18"/>
                <w:szCs w:val="18"/>
              </w:rPr>
              <w:t>Fuera de plazo</w:t>
            </w:r>
          </w:p>
        </w:tc>
        <w:tc>
          <w:tcPr>
            <w:tcW w:w="2132" w:type="dxa"/>
          </w:tcPr>
          <w:p w14:paraId="608686BE" w14:textId="77777777" w:rsidR="008B05F9" w:rsidRPr="004D6F2D" w:rsidRDefault="008B05F9" w:rsidP="00E166D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6F2D">
              <w:rPr>
                <w:rFonts w:ascii="Arial" w:hAnsi="Arial" w:cs="Arial"/>
                <w:sz w:val="18"/>
                <w:szCs w:val="18"/>
              </w:rPr>
              <w:t xml:space="preserve">Presentación de la demanda </w:t>
            </w:r>
          </w:p>
        </w:tc>
        <w:tc>
          <w:tcPr>
            <w:tcW w:w="1276" w:type="dxa"/>
          </w:tcPr>
          <w:p w14:paraId="23EC0150" w14:textId="77777777" w:rsidR="008B05F9" w:rsidRPr="004D6F2D" w:rsidRDefault="008B05F9" w:rsidP="004E065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76" w:type="dxa"/>
          </w:tcPr>
          <w:p w14:paraId="2FFB2F2F" w14:textId="77777777" w:rsidR="008B05F9" w:rsidRPr="004D6F2D" w:rsidRDefault="008B05F9" w:rsidP="004E065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76" w:type="dxa"/>
          </w:tcPr>
          <w:p w14:paraId="524DDEBD" w14:textId="77777777" w:rsidR="008B05F9" w:rsidRPr="004D6F2D" w:rsidRDefault="008B05F9" w:rsidP="004E065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19" w:type="dxa"/>
          </w:tcPr>
          <w:p w14:paraId="1066C923" w14:textId="77777777" w:rsidR="008B05F9" w:rsidRPr="004D6F2D" w:rsidRDefault="008B05F9" w:rsidP="004E065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7DBE90E0" w14:textId="77777777" w:rsidR="00FA162C" w:rsidRPr="004D6F2D" w:rsidRDefault="00FA162C" w:rsidP="004D6F2D">
      <w:pPr>
        <w:pStyle w:val="Estilo"/>
      </w:pPr>
    </w:p>
    <w:p w14:paraId="391AAE28" w14:textId="0F600430" w:rsidR="00E166D6" w:rsidRPr="00E166D6" w:rsidRDefault="00FA162C" w:rsidP="00E166D6">
      <w:pPr>
        <w:spacing w:line="360" w:lineRule="auto"/>
        <w:jc w:val="both"/>
        <w:rPr>
          <w:rFonts w:ascii="Arial" w:hAnsi="Arial" w:cs="Arial"/>
          <w:sz w:val="24"/>
          <w:szCs w:val="24"/>
        </w:rPr>
      </w:pPr>
      <w:r>
        <w:rPr>
          <w:rFonts w:ascii="Arial" w:hAnsi="Arial" w:cs="Arial"/>
          <w:sz w:val="24"/>
          <w:szCs w:val="24"/>
        </w:rPr>
        <w:lastRenderedPageBreak/>
        <w:t>De ahí que</w:t>
      </w:r>
      <w:r w:rsidR="008B05F9">
        <w:rPr>
          <w:rFonts w:ascii="Arial" w:hAnsi="Arial" w:cs="Arial"/>
          <w:sz w:val="24"/>
          <w:szCs w:val="24"/>
        </w:rPr>
        <w:t xml:space="preserve"> </w:t>
      </w:r>
      <w:r w:rsidR="008B05F9" w:rsidRPr="008B05F9">
        <w:rPr>
          <w:rFonts w:ascii="Arial" w:hAnsi="Arial" w:cs="Arial"/>
          <w:sz w:val="24"/>
          <w:szCs w:val="24"/>
        </w:rPr>
        <w:t xml:space="preserve">este </w:t>
      </w:r>
      <w:r>
        <w:rPr>
          <w:rFonts w:ascii="Arial" w:hAnsi="Arial" w:cs="Arial"/>
          <w:sz w:val="24"/>
          <w:szCs w:val="24"/>
        </w:rPr>
        <w:t>órgano jurisdiccional</w:t>
      </w:r>
      <w:r w:rsidR="008B05F9" w:rsidRPr="008B05F9">
        <w:rPr>
          <w:rFonts w:ascii="Arial" w:hAnsi="Arial" w:cs="Arial"/>
          <w:sz w:val="24"/>
          <w:szCs w:val="24"/>
        </w:rPr>
        <w:t xml:space="preserve"> adviert</w:t>
      </w:r>
      <w:r>
        <w:rPr>
          <w:rFonts w:ascii="Arial" w:hAnsi="Arial" w:cs="Arial"/>
          <w:sz w:val="24"/>
          <w:szCs w:val="24"/>
        </w:rPr>
        <w:t>a</w:t>
      </w:r>
      <w:r w:rsidR="008B05F9" w:rsidRPr="008B05F9">
        <w:rPr>
          <w:rFonts w:ascii="Arial" w:hAnsi="Arial" w:cs="Arial"/>
          <w:sz w:val="24"/>
          <w:szCs w:val="24"/>
        </w:rPr>
        <w:t xml:space="preserve"> que el escrito de demanda </w:t>
      </w:r>
      <w:r>
        <w:rPr>
          <w:rFonts w:ascii="Arial" w:hAnsi="Arial" w:cs="Arial"/>
          <w:sz w:val="24"/>
          <w:szCs w:val="24"/>
        </w:rPr>
        <w:t>es evidentemente</w:t>
      </w:r>
      <w:r w:rsidR="008B05F9" w:rsidRPr="008B05F9">
        <w:rPr>
          <w:rFonts w:ascii="Arial" w:hAnsi="Arial" w:cs="Arial"/>
          <w:sz w:val="24"/>
          <w:szCs w:val="24"/>
        </w:rPr>
        <w:t xml:space="preserve"> </w:t>
      </w:r>
      <w:r w:rsidRPr="008B05F9">
        <w:rPr>
          <w:rFonts w:ascii="Arial" w:hAnsi="Arial" w:cs="Arial"/>
          <w:sz w:val="24"/>
          <w:szCs w:val="24"/>
        </w:rPr>
        <w:t>extemporán</w:t>
      </w:r>
      <w:r>
        <w:rPr>
          <w:rFonts w:ascii="Arial" w:hAnsi="Arial" w:cs="Arial"/>
          <w:sz w:val="24"/>
          <w:szCs w:val="24"/>
        </w:rPr>
        <w:t>eo</w:t>
      </w:r>
      <w:r w:rsidR="008B05F9" w:rsidRPr="008B05F9">
        <w:rPr>
          <w:rFonts w:ascii="Arial" w:hAnsi="Arial" w:cs="Arial"/>
          <w:sz w:val="24"/>
          <w:szCs w:val="24"/>
        </w:rPr>
        <w:t xml:space="preserve"> y, por tanto, lo procedente es desecharl</w:t>
      </w:r>
      <w:r>
        <w:rPr>
          <w:rFonts w:ascii="Arial" w:hAnsi="Arial" w:cs="Arial"/>
          <w:sz w:val="24"/>
          <w:szCs w:val="24"/>
        </w:rPr>
        <w:t>o</w:t>
      </w:r>
      <w:r w:rsidR="008B05F9" w:rsidRPr="008B05F9">
        <w:rPr>
          <w:rFonts w:ascii="Arial" w:hAnsi="Arial" w:cs="Arial"/>
          <w:sz w:val="24"/>
          <w:szCs w:val="24"/>
        </w:rPr>
        <w:t xml:space="preserve"> de plano, al actualizarse la causal de improcedencia prevista en el artículo 304, fracción</w:t>
      </w:r>
      <w:r w:rsidR="00E166D6">
        <w:rPr>
          <w:rFonts w:ascii="Arial" w:hAnsi="Arial" w:cs="Arial"/>
          <w:sz w:val="24"/>
          <w:szCs w:val="24"/>
        </w:rPr>
        <w:t xml:space="preserve"> I, del Código Electoral.</w:t>
      </w:r>
    </w:p>
    <w:p w14:paraId="1489656C" w14:textId="77777777" w:rsidR="00E166D6" w:rsidRDefault="00E166D6" w:rsidP="00F11899">
      <w:pPr>
        <w:pStyle w:val="Sinespaciado"/>
      </w:pPr>
    </w:p>
    <w:p w14:paraId="048DEE76" w14:textId="77777777" w:rsidR="00F11899" w:rsidRDefault="00E166D6" w:rsidP="00F11899">
      <w:pPr>
        <w:spacing w:line="360" w:lineRule="auto"/>
        <w:jc w:val="both"/>
        <w:rPr>
          <w:rFonts w:ascii="Arial" w:hAnsi="Arial" w:cs="Arial"/>
          <w:color w:val="000000" w:themeColor="text1"/>
          <w:sz w:val="24"/>
          <w:szCs w:val="24"/>
        </w:rPr>
      </w:pPr>
      <w:bookmarkStart w:id="11" w:name="_Hlk71709639"/>
      <w:r>
        <w:rPr>
          <w:rFonts w:ascii="Arial" w:hAnsi="Arial" w:cs="Arial"/>
          <w:color w:val="000000" w:themeColor="text1"/>
          <w:sz w:val="24"/>
          <w:szCs w:val="24"/>
        </w:rPr>
        <w:t>Al respecto</w:t>
      </w:r>
      <w:r w:rsidR="00FA162C">
        <w:rPr>
          <w:rFonts w:ascii="Arial" w:hAnsi="Arial" w:cs="Arial"/>
          <w:color w:val="000000" w:themeColor="text1"/>
          <w:sz w:val="24"/>
          <w:szCs w:val="24"/>
        </w:rPr>
        <w:t>, e</w:t>
      </w:r>
      <w:r w:rsidR="00F11899" w:rsidRPr="00660823">
        <w:rPr>
          <w:rFonts w:ascii="Arial" w:hAnsi="Arial" w:cs="Arial"/>
          <w:color w:val="000000" w:themeColor="text1"/>
          <w:sz w:val="24"/>
          <w:szCs w:val="24"/>
        </w:rPr>
        <w:t>ste Tribunal electoral tiene en cuenta que el actor se ostenta como persona con alguna discapacidad y, por tanto, p</w:t>
      </w:r>
      <w:r w:rsidR="00FA162C">
        <w:rPr>
          <w:rFonts w:ascii="Arial" w:hAnsi="Arial" w:cs="Arial"/>
          <w:color w:val="000000" w:themeColor="text1"/>
          <w:sz w:val="24"/>
          <w:szCs w:val="24"/>
        </w:rPr>
        <w:t>ertenece</w:t>
      </w:r>
      <w:r w:rsidR="00F11899" w:rsidRPr="00660823">
        <w:rPr>
          <w:rFonts w:ascii="Arial" w:hAnsi="Arial" w:cs="Arial"/>
          <w:color w:val="000000" w:themeColor="text1"/>
          <w:sz w:val="24"/>
          <w:szCs w:val="24"/>
        </w:rPr>
        <w:t xml:space="preserve"> a grupo vulnerable. Sin embargo, en su demanda no hacer referencia a alguna circunstancia que le impidiera o imposibilitara promover el presente juicio ciudadano. </w:t>
      </w:r>
    </w:p>
    <w:bookmarkEnd w:id="11"/>
    <w:p w14:paraId="320769FF" w14:textId="77777777" w:rsidR="00F11899" w:rsidRPr="00660823" w:rsidRDefault="00F11899" w:rsidP="00F11899">
      <w:pPr>
        <w:pStyle w:val="Sinespaciado"/>
      </w:pPr>
    </w:p>
    <w:p w14:paraId="7377A2A4" w14:textId="7F1A8F50" w:rsidR="003C2AE6" w:rsidRDefault="00F11899" w:rsidP="00FA162C">
      <w:pPr>
        <w:spacing w:line="360" w:lineRule="auto"/>
        <w:jc w:val="both"/>
        <w:rPr>
          <w:rFonts w:ascii="Arial" w:hAnsi="Arial" w:cs="Arial"/>
          <w:color w:val="000000" w:themeColor="text1"/>
          <w:sz w:val="24"/>
          <w:szCs w:val="24"/>
        </w:rPr>
      </w:pPr>
      <w:bookmarkStart w:id="12" w:name="_Hlk71709682"/>
      <w:r w:rsidRPr="00660823">
        <w:rPr>
          <w:rFonts w:ascii="Arial" w:hAnsi="Arial" w:cs="Arial"/>
          <w:color w:val="000000" w:themeColor="text1"/>
          <w:sz w:val="24"/>
          <w:szCs w:val="24"/>
        </w:rPr>
        <w:t xml:space="preserve">Así que el hecho de el recurrente no señale ningún supuesto extraordinario que justifique la presentación de la demanda fuera del plazo de los cuatro días, lo </w:t>
      </w:r>
      <w:r w:rsidRPr="00E166D6">
        <w:rPr>
          <w:rFonts w:ascii="Arial" w:hAnsi="Arial" w:cs="Arial"/>
          <w:b/>
          <w:bCs/>
          <w:color w:val="000000" w:themeColor="text1"/>
          <w:sz w:val="24"/>
          <w:szCs w:val="24"/>
        </w:rPr>
        <w:t xml:space="preserve">procedente es desecharla por haberse </w:t>
      </w:r>
      <w:r w:rsidR="00E166D6" w:rsidRPr="00E166D6">
        <w:rPr>
          <w:rFonts w:ascii="Arial" w:hAnsi="Arial" w:cs="Arial"/>
          <w:b/>
          <w:bCs/>
          <w:color w:val="000000" w:themeColor="text1"/>
          <w:sz w:val="24"/>
          <w:szCs w:val="24"/>
        </w:rPr>
        <w:t>promovido</w:t>
      </w:r>
      <w:r w:rsidRPr="00E166D6">
        <w:rPr>
          <w:rFonts w:ascii="Arial" w:hAnsi="Arial" w:cs="Arial"/>
          <w:b/>
          <w:bCs/>
          <w:color w:val="000000" w:themeColor="text1"/>
          <w:sz w:val="24"/>
          <w:szCs w:val="24"/>
        </w:rPr>
        <w:t xml:space="preserve"> de forma extemporánea</w:t>
      </w:r>
      <w:r w:rsidRPr="00660823">
        <w:rPr>
          <w:rFonts w:ascii="Arial" w:hAnsi="Arial" w:cs="Arial"/>
          <w:color w:val="000000" w:themeColor="text1"/>
          <w:sz w:val="24"/>
          <w:szCs w:val="24"/>
        </w:rPr>
        <w:t>.</w:t>
      </w:r>
    </w:p>
    <w:p w14:paraId="38F8F942" w14:textId="77777777" w:rsidR="007E1155" w:rsidRPr="00FA162C" w:rsidRDefault="007E1155" w:rsidP="004D6F2D">
      <w:pPr>
        <w:pStyle w:val="Sinespaciado"/>
      </w:pPr>
    </w:p>
    <w:p w14:paraId="0EA8CC64" w14:textId="56C04CAF" w:rsidR="003C2AE6" w:rsidRPr="008B05F9" w:rsidRDefault="003C2AE6" w:rsidP="003C2AE6">
      <w:pPr>
        <w:pStyle w:val="Ttulo2"/>
        <w:spacing w:before="0" w:line="360" w:lineRule="auto"/>
        <w:contextualSpacing/>
        <w:jc w:val="center"/>
        <w:rPr>
          <w:rFonts w:ascii="Arial" w:hAnsi="Arial" w:cs="Arial"/>
          <w:color w:val="auto"/>
          <w:sz w:val="24"/>
          <w:szCs w:val="24"/>
          <w:lang w:val="es-ES_tradnl"/>
        </w:rPr>
      </w:pPr>
      <w:bookmarkStart w:id="13" w:name="_Toc71637783"/>
      <w:bookmarkEnd w:id="12"/>
      <w:r w:rsidRPr="008B05F9">
        <w:rPr>
          <w:rFonts w:ascii="Arial" w:hAnsi="Arial" w:cs="Arial"/>
          <w:color w:val="auto"/>
          <w:sz w:val="24"/>
          <w:szCs w:val="24"/>
          <w:lang w:val="es-ES_tradnl"/>
        </w:rPr>
        <w:t>Resuelve:</w:t>
      </w:r>
      <w:bookmarkEnd w:id="13"/>
    </w:p>
    <w:p w14:paraId="7CB5D47E" w14:textId="77777777" w:rsidR="003C2AE6" w:rsidRPr="008B05F9" w:rsidRDefault="003C2AE6" w:rsidP="003C2AE6">
      <w:pPr>
        <w:rPr>
          <w:sz w:val="24"/>
          <w:szCs w:val="24"/>
          <w:lang w:val="es-ES_tradnl"/>
        </w:rPr>
      </w:pPr>
    </w:p>
    <w:p w14:paraId="6E573DE2" w14:textId="02ABB230" w:rsidR="003C2AE6" w:rsidRPr="008B05F9" w:rsidRDefault="00C37E80" w:rsidP="003C2AE6">
      <w:pPr>
        <w:spacing w:line="360" w:lineRule="auto"/>
        <w:jc w:val="both"/>
        <w:rPr>
          <w:rFonts w:ascii="Arial" w:hAnsi="Arial" w:cs="Arial"/>
          <w:color w:val="000000"/>
          <w:sz w:val="24"/>
          <w:szCs w:val="24"/>
          <w:lang w:eastAsia="es-MX"/>
        </w:rPr>
      </w:pPr>
      <w:r>
        <w:rPr>
          <w:rFonts w:ascii="Arial" w:hAnsi="Arial" w:cs="Arial"/>
          <w:b/>
          <w:bCs/>
          <w:sz w:val="24"/>
          <w:szCs w:val="24"/>
        </w:rPr>
        <w:t>Único</w:t>
      </w:r>
      <w:r w:rsidR="003C2AE6" w:rsidRPr="008B05F9">
        <w:rPr>
          <w:rFonts w:ascii="Arial" w:hAnsi="Arial" w:cs="Arial"/>
          <w:b/>
          <w:bCs/>
          <w:sz w:val="24"/>
          <w:szCs w:val="24"/>
        </w:rPr>
        <w:t xml:space="preserve">. </w:t>
      </w:r>
      <w:r w:rsidR="003C2AE6" w:rsidRPr="008B05F9">
        <w:rPr>
          <w:rFonts w:ascii="Arial" w:hAnsi="Arial" w:cs="Arial"/>
          <w:sz w:val="24"/>
          <w:szCs w:val="24"/>
        </w:rPr>
        <w:t>Se</w:t>
      </w:r>
      <w:r w:rsidR="003C2AE6" w:rsidRPr="008B05F9">
        <w:rPr>
          <w:rFonts w:ascii="Arial" w:hAnsi="Arial" w:cs="Arial"/>
          <w:b/>
          <w:bCs/>
          <w:sz w:val="24"/>
          <w:szCs w:val="24"/>
        </w:rPr>
        <w:t xml:space="preserve"> </w:t>
      </w:r>
      <w:r w:rsidR="00F77408" w:rsidRPr="008B05F9">
        <w:rPr>
          <w:rFonts w:ascii="Arial" w:hAnsi="Arial" w:cs="Arial"/>
          <w:b/>
          <w:bCs/>
          <w:color w:val="000000"/>
          <w:sz w:val="24"/>
          <w:szCs w:val="24"/>
          <w:lang w:eastAsia="es-MX"/>
        </w:rPr>
        <w:t>desecha</w:t>
      </w:r>
      <w:r w:rsidR="00F77408" w:rsidRPr="008B05F9">
        <w:rPr>
          <w:rFonts w:ascii="Arial" w:hAnsi="Arial" w:cs="Arial"/>
          <w:color w:val="000000"/>
          <w:sz w:val="24"/>
          <w:szCs w:val="24"/>
          <w:lang w:eastAsia="es-MX"/>
        </w:rPr>
        <w:t xml:space="preserve"> de plano la demanda</w:t>
      </w:r>
      <w:r w:rsidR="003C2AE6" w:rsidRPr="008B05F9">
        <w:rPr>
          <w:rFonts w:ascii="Arial" w:hAnsi="Arial" w:cs="Arial"/>
          <w:color w:val="000000"/>
          <w:sz w:val="24"/>
          <w:szCs w:val="24"/>
          <w:lang w:eastAsia="es-MX"/>
        </w:rPr>
        <w:t>.</w:t>
      </w:r>
    </w:p>
    <w:p w14:paraId="76F2D70F" w14:textId="77777777" w:rsidR="00834A79" w:rsidRPr="008B05F9" w:rsidRDefault="00834A79" w:rsidP="00834A79">
      <w:pPr>
        <w:pStyle w:val="Sinespaciado"/>
        <w:rPr>
          <w:sz w:val="24"/>
          <w:szCs w:val="24"/>
          <w:lang w:eastAsia="es-MX"/>
        </w:rPr>
      </w:pPr>
    </w:p>
    <w:p w14:paraId="5D315CAC" w14:textId="77777777" w:rsidR="00834A79" w:rsidRPr="008B05F9" w:rsidRDefault="00834A79" w:rsidP="00834A79">
      <w:pPr>
        <w:tabs>
          <w:tab w:val="left" w:pos="0"/>
          <w:tab w:val="left" w:pos="426"/>
        </w:tabs>
        <w:spacing w:line="360" w:lineRule="auto"/>
        <w:jc w:val="both"/>
        <w:rPr>
          <w:rFonts w:ascii="Arial" w:eastAsia="Arial" w:hAnsi="Arial" w:cs="Arial"/>
          <w:color w:val="000000"/>
          <w:sz w:val="24"/>
          <w:szCs w:val="24"/>
        </w:rPr>
      </w:pPr>
      <w:r w:rsidRPr="008B05F9">
        <w:rPr>
          <w:rFonts w:ascii="Arial" w:eastAsia="Arial" w:hAnsi="Arial" w:cs="Arial"/>
          <w:b/>
          <w:bCs/>
          <w:color w:val="000000"/>
          <w:sz w:val="24"/>
          <w:szCs w:val="24"/>
          <w:u w:color="000000"/>
          <w:bdr w:val="nil"/>
          <w:lang w:val="es-ES_tradnl" w:eastAsia="es-MX"/>
        </w:rPr>
        <w:t>Notifíquese</w:t>
      </w:r>
      <w:r w:rsidRPr="008B05F9">
        <w:rPr>
          <w:rFonts w:ascii="Arial" w:eastAsia="Arial" w:hAnsi="Arial" w:cs="Arial"/>
          <w:color w:val="000000"/>
          <w:sz w:val="24"/>
          <w:szCs w:val="24"/>
          <w:u w:color="000000"/>
          <w:bdr w:val="nil"/>
          <w:lang w:val="es-ES_tradnl" w:eastAsia="es-MX"/>
        </w:rPr>
        <w:t xml:space="preserve"> conforme a Derecho. </w:t>
      </w:r>
    </w:p>
    <w:p w14:paraId="49BD26FF" w14:textId="77777777" w:rsidR="00834A79" w:rsidRPr="008B05F9" w:rsidRDefault="00834A79" w:rsidP="0066122E">
      <w:pPr>
        <w:pStyle w:val="Sinespaciado"/>
        <w:rPr>
          <w:rFonts w:eastAsia="Arial"/>
          <w:sz w:val="24"/>
          <w:szCs w:val="24"/>
          <w:u w:color="000000"/>
          <w:bdr w:val="nil"/>
          <w:lang w:val="es-ES_tradnl" w:eastAsia="es-MX"/>
        </w:rPr>
      </w:pPr>
    </w:p>
    <w:p w14:paraId="59401D0B" w14:textId="147F3192" w:rsidR="004306FC" w:rsidRDefault="00834A79" w:rsidP="00834A79">
      <w:pPr>
        <w:spacing w:line="360" w:lineRule="auto"/>
        <w:jc w:val="both"/>
        <w:rPr>
          <w:rFonts w:ascii="Arial" w:hAnsi="Arial" w:cs="Arial"/>
          <w:bCs/>
          <w:sz w:val="24"/>
          <w:szCs w:val="24"/>
        </w:rPr>
      </w:pPr>
      <w:r w:rsidRPr="008B05F9">
        <w:rPr>
          <w:rFonts w:ascii="Arial" w:hAnsi="Arial" w:cs="Arial"/>
          <w:sz w:val="24"/>
          <w:szCs w:val="24"/>
          <w:lang w:eastAsia="es-MX"/>
        </w:rPr>
        <w:t>Así lo resolvieron, por</w:t>
      </w:r>
      <w:r w:rsidRPr="008B05F9">
        <w:rPr>
          <w:rFonts w:ascii="Arial" w:hAnsi="Arial" w:cs="Arial"/>
          <w:b/>
          <w:bCs/>
          <w:sz w:val="24"/>
          <w:szCs w:val="24"/>
        </w:rPr>
        <w:t xml:space="preserve"> </w:t>
      </w:r>
      <w:r w:rsidRPr="008B05F9">
        <w:rPr>
          <w:rFonts w:ascii="Arial" w:hAnsi="Arial" w:cs="Arial"/>
          <w:sz w:val="24"/>
          <w:szCs w:val="24"/>
        </w:rPr>
        <w:t xml:space="preserve">unanimidad de votos, </w:t>
      </w:r>
      <w:r w:rsidRPr="008B05F9">
        <w:rPr>
          <w:rFonts w:ascii="Arial" w:hAnsi="Arial" w:cs="Arial"/>
          <w:bCs/>
          <w:sz w:val="24"/>
          <w:szCs w:val="24"/>
        </w:rPr>
        <w:t>las Magistradas y el Magistrados del Tribunal Electoral del Estado de Aguascalientes</w:t>
      </w:r>
      <w:r w:rsidRPr="008B05F9">
        <w:rPr>
          <w:rFonts w:ascii="Arial" w:hAnsi="Arial" w:cs="Arial"/>
          <w:sz w:val="24"/>
          <w:szCs w:val="24"/>
        </w:rPr>
        <w:t xml:space="preserve">, </w:t>
      </w:r>
      <w:r w:rsidRPr="008B05F9">
        <w:rPr>
          <w:rFonts w:ascii="Arial" w:hAnsi="Arial" w:cs="Arial"/>
          <w:bCs/>
          <w:sz w:val="24"/>
          <w:szCs w:val="24"/>
        </w:rPr>
        <w:t>ante el Secretario General de Acuerdos que autoriza y da fe.</w:t>
      </w:r>
    </w:p>
    <w:p w14:paraId="6E9D7D3C" w14:textId="57BB04DD" w:rsidR="004D6F2D" w:rsidRDefault="004D6F2D" w:rsidP="00834A79">
      <w:pPr>
        <w:spacing w:line="360" w:lineRule="auto"/>
        <w:jc w:val="both"/>
        <w:rPr>
          <w:rFonts w:ascii="Arial" w:hAnsi="Arial" w:cs="Arial"/>
          <w:bCs/>
          <w:sz w:val="24"/>
          <w:szCs w:val="24"/>
        </w:rPr>
      </w:pPr>
    </w:p>
    <w:p w14:paraId="3CB675AE" w14:textId="1FBAB80E" w:rsidR="004D6F2D" w:rsidRPr="008B05F9" w:rsidRDefault="004D6F2D" w:rsidP="00834A79">
      <w:pPr>
        <w:spacing w:line="360" w:lineRule="auto"/>
        <w:jc w:val="both"/>
        <w:rPr>
          <w:rFonts w:ascii="Arial" w:hAnsi="Arial" w:cs="Arial"/>
          <w:bCs/>
          <w:sz w:val="24"/>
          <w:szCs w:val="24"/>
        </w:rPr>
      </w:pPr>
      <w:r>
        <w:rPr>
          <w:noProof/>
        </w:rPr>
        <w:drawing>
          <wp:anchor distT="0" distB="0" distL="114300" distR="114300" simplePos="0" relativeHeight="251665408" behindDoc="0" locked="0" layoutInCell="1" allowOverlap="1" wp14:anchorId="417B769B" wp14:editId="07B635B0">
            <wp:simplePos x="0" y="0"/>
            <wp:positionH relativeFrom="column">
              <wp:posOffset>2275027</wp:posOffset>
            </wp:positionH>
            <wp:positionV relativeFrom="paragraph">
              <wp:posOffset>2751836</wp:posOffset>
            </wp:positionV>
            <wp:extent cx="1592544" cy="1600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4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8175" w:type="dxa"/>
        <w:jc w:val="center"/>
        <w:tblLayout w:type="fixed"/>
        <w:tblLook w:val="04A0" w:firstRow="1" w:lastRow="0" w:firstColumn="1" w:lastColumn="0" w:noHBand="0" w:noVBand="1"/>
      </w:tblPr>
      <w:tblGrid>
        <w:gridCol w:w="4063"/>
        <w:gridCol w:w="4112"/>
      </w:tblGrid>
      <w:tr w:rsidR="00667675" w:rsidRPr="008B05F9" w14:paraId="0211FD11" w14:textId="77777777" w:rsidTr="00667675">
        <w:trPr>
          <w:trHeight w:val="1093"/>
          <w:jc w:val="center"/>
        </w:trPr>
        <w:tc>
          <w:tcPr>
            <w:tcW w:w="8175" w:type="dxa"/>
            <w:gridSpan w:val="2"/>
          </w:tcPr>
          <w:bookmarkEnd w:id="6"/>
          <w:bookmarkEnd w:id="7"/>
          <w:p w14:paraId="1626B7BE" w14:textId="6F07E934" w:rsidR="00667675" w:rsidRPr="008B05F9" w:rsidRDefault="004D6F2D"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r>
              <w:rPr>
                <w:noProof/>
              </w:rPr>
              <w:drawing>
                <wp:anchor distT="0" distB="0" distL="114300" distR="114300" simplePos="0" relativeHeight="251661312" behindDoc="0" locked="0" layoutInCell="1" allowOverlap="1" wp14:anchorId="536D1CB1" wp14:editId="32281FDC">
                  <wp:simplePos x="0" y="0"/>
                  <wp:positionH relativeFrom="column">
                    <wp:posOffset>1330706</wp:posOffset>
                  </wp:positionH>
                  <wp:positionV relativeFrom="paragraph">
                    <wp:posOffset>-9906</wp:posOffset>
                  </wp:positionV>
                  <wp:extent cx="1828800" cy="1042416"/>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725" cy="1045793"/>
                          </a:xfrm>
                          <a:prstGeom prst="rect">
                            <a:avLst/>
                          </a:prstGeom>
                          <a:noFill/>
                        </pic:spPr>
                      </pic:pic>
                    </a:graphicData>
                  </a:graphic>
                  <wp14:sizeRelH relativeFrom="page">
                    <wp14:pctWidth>0</wp14:pctWidth>
                  </wp14:sizeRelH>
                  <wp14:sizeRelV relativeFrom="page">
                    <wp14:pctHeight>0</wp14:pctHeight>
                  </wp14:sizeRelV>
                </wp:anchor>
              </w:drawing>
            </w:r>
            <w:r w:rsidR="00667675" w:rsidRPr="008B05F9">
              <w:rPr>
                <w:rFonts w:ascii="Arial" w:hAnsi="Arial" w:cs="Arial"/>
                <w:b/>
                <w:bCs/>
                <w:lang w:val="es-ES" w:eastAsia="en-US"/>
              </w:rPr>
              <w:t>MAGISTRADA PRESIDENTA</w:t>
            </w:r>
          </w:p>
          <w:p w14:paraId="6FD109F1" w14:textId="30EC29AF" w:rsidR="008B68CA" w:rsidRPr="008B05F9" w:rsidRDefault="008B68CA"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30B61A93" w14:textId="45118E00" w:rsidR="00B907C5" w:rsidRPr="008B05F9" w:rsidRDefault="00667675"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8B05F9">
              <w:rPr>
                <w:rFonts w:ascii="Arial" w:hAnsi="Arial" w:cs="Arial"/>
                <w:b/>
                <w:bCs/>
                <w:lang w:val="es-ES" w:eastAsia="en-US"/>
              </w:rPr>
              <w:t xml:space="preserve">CLAUDIA ELOISA DÍAZ DE LEÓN GONZÁLEZ </w:t>
            </w:r>
          </w:p>
          <w:p w14:paraId="30BF56B8" w14:textId="77777777" w:rsidR="00500D98" w:rsidRPr="004D6F2D" w:rsidRDefault="00500D98" w:rsidP="004D6F2D">
            <w:pPr>
              <w:pStyle w:val="Sinespaciado"/>
            </w:pPr>
          </w:p>
          <w:p w14:paraId="49EE9412" w14:textId="77777777" w:rsidR="008B68CA" w:rsidRDefault="008B68CA" w:rsidP="0066122E">
            <w:pPr>
              <w:pStyle w:val="Sinespaciado"/>
              <w:rPr>
                <w:sz w:val="24"/>
                <w:szCs w:val="24"/>
                <w:lang w:val="es-ES"/>
              </w:rPr>
            </w:pPr>
          </w:p>
          <w:p w14:paraId="2F76F7ED" w14:textId="5B59BC44" w:rsidR="004D6F2D" w:rsidRPr="008B05F9" w:rsidRDefault="004D6F2D" w:rsidP="0066122E">
            <w:pPr>
              <w:pStyle w:val="Sinespaciado"/>
              <w:rPr>
                <w:sz w:val="24"/>
                <w:szCs w:val="24"/>
                <w:lang w:val="es-ES"/>
              </w:rPr>
            </w:pPr>
          </w:p>
        </w:tc>
      </w:tr>
      <w:tr w:rsidR="00667675" w:rsidRPr="008B05F9" w14:paraId="67E0A0B5" w14:textId="77777777" w:rsidTr="00B907C5">
        <w:trPr>
          <w:trHeight w:val="1437"/>
          <w:jc w:val="center"/>
        </w:trPr>
        <w:tc>
          <w:tcPr>
            <w:tcW w:w="4063" w:type="dxa"/>
          </w:tcPr>
          <w:p w14:paraId="2E7E8672" w14:textId="0812EF17" w:rsidR="001F4FE4" w:rsidRPr="008B05F9" w:rsidRDefault="004D6F2D" w:rsidP="0066122E">
            <w:pPr>
              <w:pStyle w:val="NormalWeb"/>
              <w:spacing w:before="0" w:beforeAutospacing="0" w:after="0" w:afterAutospacing="0" w:line="360" w:lineRule="auto"/>
              <w:ind w:right="49"/>
              <w:contextualSpacing/>
              <w:mirrorIndents/>
              <w:jc w:val="center"/>
              <w:rPr>
                <w:rFonts w:ascii="Arial" w:hAnsi="Arial" w:cs="Arial"/>
                <w:b/>
                <w:bCs/>
                <w:lang w:eastAsia="en-US"/>
              </w:rPr>
            </w:pPr>
            <w:r>
              <w:rPr>
                <w:noProof/>
              </w:rPr>
              <w:drawing>
                <wp:anchor distT="0" distB="0" distL="114300" distR="114300" simplePos="0" relativeHeight="251659264" behindDoc="1" locked="0" layoutInCell="1" allowOverlap="1" wp14:anchorId="10EE3F15" wp14:editId="3AE26F22">
                  <wp:simplePos x="0" y="0"/>
                  <wp:positionH relativeFrom="column">
                    <wp:posOffset>313284</wp:posOffset>
                  </wp:positionH>
                  <wp:positionV relativeFrom="paragraph">
                    <wp:posOffset>50241</wp:posOffset>
                  </wp:positionV>
                  <wp:extent cx="1998461" cy="650062"/>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40" b="18686"/>
                          <a:stretch/>
                        </pic:blipFill>
                        <pic:spPr bwMode="auto">
                          <a:xfrm>
                            <a:off x="0" y="0"/>
                            <a:ext cx="1998461" cy="6500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675" w:rsidRPr="008B05F9">
              <w:rPr>
                <w:rFonts w:ascii="Arial" w:hAnsi="Arial" w:cs="Arial"/>
                <w:b/>
                <w:bCs/>
                <w:lang w:eastAsia="en-US"/>
              </w:rPr>
              <w:t>MAGISTRADA</w:t>
            </w:r>
          </w:p>
          <w:p w14:paraId="24A7C6C3" w14:textId="0651B82B" w:rsidR="0066122E" w:rsidRPr="008B05F9" w:rsidRDefault="0066122E" w:rsidP="0066122E">
            <w:pPr>
              <w:pStyle w:val="NormalWeb"/>
              <w:spacing w:before="0" w:beforeAutospacing="0" w:after="0" w:afterAutospacing="0" w:line="360" w:lineRule="auto"/>
              <w:ind w:right="49"/>
              <w:contextualSpacing/>
              <w:mirrorIndents/>
              <w:jc w:val="center"/>
              <w:rPr>
                <w:rFonts w:ascii="Arial" w:hAnsi="Arial" w:cs="Arial"/>
                <w:b/>
                <w:bCs/>
                <w:lang w:eastAsia="en-US"/>
              </w:rPr>
            </w:pPr>
          </w:p>
          <w:p w14:paraId="06EEC3DB" w14:textId="77777777" w:rsidR="00667675"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 xml:space="preserve">LAURA HORTENSIA </w:t>
            </w:r>
          </w:p>
          <w:p w14:paraId="10DC61A8" w14:textId="2A78AEFE" w:rsidR="00667675"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LLAMAS HE</w:t>
            </w:r>
            <w:r w:rsidR="0066122E" w:rsidRPr="008B05F9">
              <w:rPr>
                <w:rFonts w:ascii="Arial" w:hAnsi="Arial" w:cs="Arial"/>
                <w:b/>
                <w:bCs/>
                <w:lang w:eastAsia="en-US"/>
              </w:rPr>
              <w:t>R</w:t>
            </w:r>
            <w:r w:rsidRPr="008B05F9">
              <w:rPr>
                <w:rFonts w:ascii="Arial" w:hAnsi="Arial" w:cs="Arial"/>
                <w:b/>
                <w:bCs/>
                <w:lang w:eastAsia="en-US"/>
              </w:rPr>
              <w:t>NÁNDE</w:t>
            </w:r>
            <w:r w:rsidR="00A76DFE" w:rsidRPr="008B05F9">
              <w:rPr>
                <w:rFonts w:ascii="Arial" w:hAnsi="Arial" w:cs="Arial"/>
                <w:b/>
                <w:bCs/>
                <w:lang w:eastAsia="en-US"/>
              </w:rPr>
              <w:t>Z</w:t>
            </w:r>
          </w:p>
        </w:tc>
        <w:tc>
          <w:tcPr>
            <w:tcW w:w="4112" w:type="dxa"/>
          </w:tcPr>
          <w:p w14:paraId="69237ABD" w14:textId="4BE53174" w:rsidR="00667675" w:rsidRPr="008B05F9" w:rsidRDefault="004D6F2D" w:rsidP="0066122E">
            <w:pPr>
              <w:pStyle w:val="NormalWeb"/>
              <w:spacing w:before="0" w:beforeAutospacing="0" w:after="0" w:afterAutospacing="0" w:line="360" w:lineRule="auto"/>
              <w:ind w:right="49"/>
              <w:contextualSpacing/>
              <w:mirrorIndents/>
              <w:jc w:val="center"/>
              <w:rPr>
                <w:rFonts w:ascii="Arial" w:hAnsi="Arial" w:cs="Arial"/>
                <w:b/>
                <w:bCs/>
                <w:lang w:eastAsia="en-US"/>
              </w:rPr>
            </w:pPr>
            <w:r>
              <w:rPr>
                <w:noProof/>
              </w:rPr>
              <w:drawing>
                <wp:anchor distT="0" distB="0" distL="114300" distR="114300" simplePos="0" relativeHeight="251663360" behindDoc="0" locked="0" layoutInCell="1" allowOverlap="1" wp14:anchorId="5913B6ED" wp14:editId="72EB10D4">
                  <wp:simplePos x="0" y="0"/>
                  <wp:positionH relativeFrom="column">
                    <wp:posOffset>90323</wp:posOffset>
                  </wp:positionH>
                  <wp:positionV relativeFrom="paragraph">
                    <wp:posOffset>-382448</wp:posOffset>
                  </wp:positionV>
                  <wp:extent cx="2085975" cy="17754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775460"/>
                          </a:xfrm>
                          <a:prstGeom prst="rect">
                            <a:avLst/>
                          </a:prstGeom>
                          <a:noFill/>
                        </pic:spPr>
                      </pic:pic>
                    </a:graphicData>
                  </a:graphic>
                  <wp14:sizeRelH relativeFrom="margin">
                    <wp14:pctWidth>0</wp14:pctWidth>
                  </wp14:sizeRelH>
                  <wp14:sizeRelV relativeFrom="margin">
                    <wp14:pctHeight>0</wp14:pctHeight>
                  </wp14:sizeRelV>
                </wp:anchor>
              </w:drawing>
            </w:r>
            <w:r w:rsidR="00667675" w:rsidRPr="008B05F9">
              <w:rPr>
                <w:rFonts w:ascii="Arial" w:hAnsi="Arial" w:cs="Arial"/>
                <w:b/>
                <w:bCs/>
                <w:lang w:eastAsia="en-US"/>
              </w:rPr>
              <w:t>MAGISTRADO</w:t>
            </w:r>
          </w:p>
          <w:p w14:paraId="155DAC2F" w14:textId="218A261F" w:rsidR="0066122E" w:rsidRPr="008B05F9" w:rsidRDefault="0066122E" w:rsidP="0066122E">
            <w:pPr>
              <w:pStyle w:val="NormalWeb"/>
              <w:spacing w:before="0" w:beforeAutospacing="0" w:after="0" w:afterAutospacing="0" w:line="360" w:lineRule="auto"/>
              <w:ind w:right="49"/>
              <w:contextualSpacing/>
              <w:mirrorIndents/>
              <w:jc w:val="center"/>
              <w:rPr>
                <w:rFonts w:ascii="Arial" w:hAnsi="Arial" w:cs="Arial"/>
                <w:b/>
                <w:bCs/>
                <w:lang w:eastAsia="en-US"/>
              </w:rPr>
            </w:pPr>
          </w:p>
          <w:p w14:paraId="1CA6FF94" w14:textId="77777777" w:rsidR="008B68CA"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 xml:space="preserve">HÉCTOR SALVADOR </w:t>
            </w:r>
          </w:p>
          <w:p w14:paraId="5A075F52" w14:textId="41776693" w:rsidR="00BF7BFF" w:rsidRPr="008B05F9"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8B05F9">
              <w:rPr>
                <w:rFonts w:ascii="Arial" w:hAnsi="Arial" w:cs="Arial"/>
                <w:b/>
                <w:bCs/>
                <w:lang w:eastAsia="en-US"/>
              </w:rPr>
              <w:t>HERNÁNDEZ GALLEGOS</w:t>
            </w:r>
          </w:p>
        </w:tc>
      </w:tr>
      <w:tr w:rsidR="00667675" w:rsidRPr="008B05F9" w14:paraId="02C4A8FE" w14:textId="77777777" w:rsidTr="00667675">
        <w:trPr>
          <w:trHeight w:val="853"/>
          <w:jc w:val="center"/>
        </w:trPr>
        <w:tc>
          <w:tcPr>
            <w:tcW w:w="8175" w:type="dxa"/>
            <w:gridSpan w:val="2"/>
          </w:tcPr>
          <w:p w14:paraId="3899AE1D" w14:textId="376EA404" w:rsidR="00500D98" w:rsidRPr="008B05F9" w:rsidRDefault="00500D98" w:rsidP="004D6F2D">
            <w:pPr>
              <w:pStyle w:val="Sinespaciado"/>
            </w:pPr>
          </w:p>
          <w:p w14:paraId="2A96F8C2" w14:textId="06230E2A" w:rsidR="008B68CA" w:rsidRDefault="008B68CA" w:rsidP="0066122E">
            <w:pPr>
              <w:pStyle w:val="NormalWeb"/>
              <w:spacing w:before="0" w:beforeAutospacing="0" w:after="0" w:afterAutospacing="0"/>
              <w:ind w:right="49"/>
              <w:contextualSpacing/>
              <w:mirrorIndents/>
              <w:rPr>
                <w:rFonts w:ascii="Arial" w:hAnsi="Arial" w:cs="Arial"/>
                <w:b/>
                <w:bCs/>
                <w:lang w:eastAsia="en-US"/>
              </w:rPr>
            </w:pPr>
          </w:p>
          <w:p w14:paraId="09E32419" w14:textId="77777777" w:rsidR="004D6F2D" w:rsidRPr="008B05F9" w:rsidRDefault="004D6F2D" w:rsidP="0066122E">
            <w:pPr>
              <w:pStyle w:val="NormalWeb"/>
              <w:spacing w:before="0" w:beforeAutospacing="0" w:after="0" w:afterAutospacing="0"/>
              <w:ind w:right="49"/>
              <w:contextualSpacing/>
              <w:mirrorIndents/>
              <w:rPr>
                <w:rFonts w:ascii="Arial" w:hAnsi="Arial" w:cs="Arial"/>
                <w:b/>
                <w:bCs/>
                <w:lang w:eastAsia="en-US"/>
              </w:rPr>
            </w:pPr>
          </w:p>
          <w:p w14:paraId="777993E4" w14:textId="77777777" w:rsidR="0066122E" w:rsidRPr="008B05F9" w:rsidRDefault="00667675" w:rsidP="0066122E">
            <w:pPr>
              <w:pStyle w:val="NormalWeb"/>
              <w:spacing w:before="0" w:beforeAutospacing="0" w:after="0" w:afterAutospacing="0"/>
              <w:ind w:right="49"/>
              <w:contextualSpacing/>
              <w:mirrorIndents/>
              <w:jc w:val="center"/>
              <w:rPr>
                <w:rFonts w:ascii="Arial" w:hAnsi="Arial" w:cs="Arial"/>
                <w:b/>
                <w:bCs/>
                <w:lang w:eastAsia="en-US"/>
              </w:rPr>
            </w:pPr>
            <w:r w:rsidRPr="008B05F9">
              <w:rPr>
                <w:rFonts w:ascii="Arial" w:hAnsi="Arial" w:cs="Arial"/>
                <w:b/>
                <w:bCs/>
                <w:lang w:eastAsia="en-US"/>
              </w:rPr>
              <w:t xml:space="preserve">SECRETARIO GENERAL DE ACUERDOS </w:t>
            </w:r>
          </w:p>
          <w:p w14:paraId="377A1B12" w14:textId="7CD1F301" w:rsidR="0066122E" w:rsidRPr="008B05F9" w:rsidRDefault="0066122E" w:rsidP="0066122E">
            <w:pPr>
              <w:pStyle w:val="NormalWeb"/>
              <w:spacing w:before="0" w:beforeAutospacing="0" w:after="0" w:afterAutospacing="0"/>
              <w:ind w:right="49"/>
              <w:contextualSpacing/>
              <w:mirrorIndents/>
              <w:jc w:val="center"/>
              <w:rPr>
                <w:rFonts w:ascii="Arial" w:hAnsi="Arial" w:cs="Arial"/>
                <w:b/>
                <w:bCs/>
                <w:lang w:eastAsia="en-US"/>
              </w:rPr>
            </w:pPr>
          </w:p>
          <w:p w14:paraId="1D6466F9" w14:textId="774B52F7" w:rsidR="008B68CA" w:rsidRPr="008B05F9" w:rsidRDefault="008B68CA" w:rsidP="0066122E">
            <w:pPr>
              <w:pStyle w:val="NormalWeb"/>
              <w:spacing w:before="0" w:beforeAutospacing="0" w:after="0" w:afterAutospacing="0"/>
              <w:ind w:right="49"/>
              <w:contextualSpacing/>
              <w:mirrorIndents/>
              <w:jc w:val="center"/>
              <w:rPr>
                <w:rFonts w:ascii="Arial" w:hAnsi="Arial" w:cs="Arial"/>
                <w:b/>
                <w:bCs/>
                <w:lang w:eastAsia="en-US"/>
              </w:rPr>
            </w:pPr>
          </w:p>
          <w:p w14:paraId="3DE484BA" w14:textId="0E2B8AD7" w:rsidR="00667675" w:rsidRPr="008B05F9" w:rsidRDefault="00667675" w:rsidP="0066122E">
            <w:pPr>
              <w:pStyle w:val="NormalWeb"/>
              <w:spacing w:before="0" w:beforeAutospacing="0" w:after="0" w:afterAutospacing="0"/>
              <w:ind w:right="49"/>
              <w:contextualSpacing/>
              <w:mirrorIndents/>
              <w:jc w:val="center"/>
              <w:rPr>
                <w:rFonts w:ascii="Arial" w:hAnsi="Arial" w:cs="Arial"/>
                <w:b/>
                <w:bCs/>
                <w:lang w:val="es-ES" w:eastAsia="en-US"/>
              </w:rPr>
            </w:pPr>
            <w:r w:rsidRPr="008B05F9">
              <w:rPr>
                <w:rFonts w:ascii="Arial" w:hAnsi="Arial" w:cs="Arial"/>
                <w:b/>
                <w:bCs/>
                <w:lang w:val="es-ES" w:eastAsia="en-US"/>
              </w:rPr>
              <w:t>JESÚS OCIEL BAENA SAUCEDO</w:t>
            </w:r>
          </w:p>
        </w:tc>
      </w:tr>
    </w:tbl>
    <w:p w14:paraId="21DDC9DC" w14:textId="0478902F" w:rsidR="006839F5" w:rsidRPr="008B68CA" w:rsidRDefault="006839F5" w:rsidP="00783FEE">
      <w:pPr>
        <w:spacing w:line="360" w:lineRule="auto"/>
        <w:rPr>
          <w:rFonts w:ascii="Arial" w:hAnsi="Arial" w:cs="Arial"/>
          <w:sz w:val="23"/>
          <w:szCs w:val="23"/>
        </w:rPr>
      </w:pPr>
    </w:p>
    <w:sectPr w:rsidR="006839F5" w:rsidRPr="008B68CA" w:rsidSect="00C91F5B">
      <w:headerReference w:type="even" r:id="rId12"/>
      <w:headerReference w:type="default" r:id="rId13"/>
      <w:footerReference w:type="even" r:id="rId14"/>
      <w:footerReference w:type="default" r:id="rId15"/>
      <w:headerReference w:type="first" r:id="rId16"/>
      <w:footerReference w:type="first" r:id="rId17"/>
      <w:pgSz w:w="12240" w:h="20160" w:code="5"/>
      <w:pgMar w:top="1843"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5075" w14:textId="77777777" w:rsidR="00E51C2D" w:rsidRDefault="00E51C2D" w:rsidP="0018649D">
      <w:r>
        <w:separator/>
      </w:r>
    </w:p>
  </w:endnote>
  <w:endnote w:type="continuationSeparator" w:id="0">
    <w:p w14:paraId="31F3BEB6" w14:textId="77777777" w:rsidR="00E51C2D" w:rsidRDefault="00E51C2D"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EEFC" w14:textId="77777777" w:rsidR="00D251E2" w:rsidRDefault="00D251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43DE" w14:textId="77777777" w:rsidR="00D251E2" w:rsidRDefault="00D251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050" w14:textId="77777777" w:rsidR="00D251E2" w:rsidRDefault="00D251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E8BA" w14:textId="77777777" w:rsidR="00E51C2D" w:rsidRDefault="00E51C2D" w:rsidP="0018649D">
      <w:r>
        <w:separator/>
      </w:r>
    </w:p>
  </w:footnote>
  <w:footnote w:type="continuationSeparator" w:id="0">
    <w:p w14:paraId="7E7F5169" w14:textId="77777777" w:rsidR="00E51C2D" w:rsidRDefault="00E51C2D" w:rsidP="0018649D">
      <w:r>
        <w:continuationSeparator/>
      </w:r>
    </w:p>
  </w:footnote>
  <w:footnote w:id="1">
    <w:p w14:paraId="2F4170FE" w14:textId="77777777" w:rsidR="00DA5414" w:rsidRPr="008B05F9" w:rsidRDefault="00DA5414" w:rsidP="0030607A">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38BE50C7" w14:textId="77777777" w:rsidR="00DA5414" w:rsidRPr="008B05F9" w:rsidRDefault="00DA5414" w:rsidP="00054D63">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0820F535" w14:textId="46079C8F" w:rsidR="008B05F9" w:rsidRPr="008B05F9" w:rsidRDefault="008B05F9" w:rsidP="008B05F9">
      <w:pPr>
        <w:jc w:val="both"/>
        <w:rPr>
          <w:rFonts w:ascii="Arial" w:hAnsi="Arial" w:cs="Arial"/>
          <w:lang w:eastAsia="es-MX"/>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eastAsia="es-MX"/>
        </w:rPr>
        <w:t>ARTÍCULO 301.- Los recursos previstos en este Código, deberán presentarse dentro de los cuatro días siguientes, contados a partir del día siguiente de su notificación o aquél en que se tenga conocimiento del acto o resolución impugnado.</w:t>
      </w:r>
    </w:p>
  </w:footnote>
  <w:footnote w:id="4">
    <w:p w14:paraId="7C732EEA" w14:textId="30BFB821" w:rsidR="008B05F9" w:rsidRPr="008B05F9" w:rsidRDefault="008B05F9" w:rsidP="008B05F9">
      <w:pPr>
        <w:jc w:val="both"/>
        <w:rPr>
          <w:rFonts w:ascii="Arial" w:hAnsi="Arial" w:cs="Arial"/>
          <w:lang w:eastAsia="es-MX"/>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eastAsia="es-MX"/>
        </w:rPr>
        <w:t>ARTÍCULO 304.- Los recursos que regula este Código, se considerarán improcedentes en los siguientes casos: I. Cuando los medios de impugnación procedentes no se hubieran interpuesto dentro del plazo señalado en este Código;</w:t>
      </w:r>
    </w:p>
  </w:footnote>
  <w:footnote w:id="5">
    <w:p w14:paraId="4FDEB9E4" w14:textId="3C7FD6CB" w:rsidR="008B05F9" w:rsidRPr="008B05F9" w:rsidRDefault="008B05F9" w:rsidP="00E166D6">
      <w:pPr>
        <w:jc w:val="both"/>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eastAsia="es-MX"/>
        </w:rPr>
        <w:t>ARTÍCULO 300.- Durante los procesos electorales todos los días y horas son hábiles. Los plazos se computarán de momento a momento y si están señalados por días, éstos se considerarán de veinticuatro horas.</w:t>
      </w:r>
    </w:p>
  </w:footnote>
  <w:footnote w:id="6">
    <w:p w14:paraId="4C6BEFE2" w14:textId="7C047C18" w:rsidR="00A6520B" w:rsidRPr="00A6520B" w:rsidRDefault="00A6520B" w:rsidP="00A6520B">
      <w:pPr>
        <w:pStyle w:val="Textonotapie"/>
        <w:jc w:val="both"/>
        <w:rPr>
          <w:rFonts w:ascii="Arial" w:hAnsi="Arial" w:cs="Arial"/>
        </w:rPr>
      </w:pPr>
      <w:r w:rsidRPr="00A6520B">
        <w:rPr>
          <w:rStyle w:val="Refdenotaalpie"/>
          <w:rFonts w:ascii="Arial" w:hAnsi="Arial" w:cs="Arial"/>
        </w:rPr>
        <w:footnoteRef/>
      </w:r>
      <w:r w:rsidRPr="00A6520B">
        <w:rPr>
          <w:rFonts w:ascii="Arial" w:hAnsi="Arial" w:cs="Arial"/>
        </w:rPr>
        <w:t xml:space="preserve"> Artículo 3°. Los plazos y términos tanto para la interposición, como el trámite, sustanciación y resolución del Juicio para la Protección de los Derechos Político-Electorales del Ciudadano y del Juicio Electoral, son los previsto para los medios de impugnación en el Código</w:t>
      </w:r>
      <w:r>
        <w:rPr>
          <w:rFonts w:ascii="Arial" w:hAnsi="Arial" w:cs="Arial"/>
        </w:rPr>
        <w:t xml:space="preserve"> </w:t>
      </w:r>
      <w:r w:rsidRPr="00A6520B">
        <w:rPr>
          <w:rFonts w:ascii="Arial" w:hAnsi="Arial" w:cs="Arial"/>
        </w:rPr>
        <w:t>Electoral y el Reglamento interior del Tribunal Electoral del Estado de Aguascalientes,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AE74" w14:textId="43F903B0" w:rsidR="00D251E2" w:rsidRDefault="00E51C2D">
    <w:pPr>
      <w:pStyle w:val="Encabezado"/>
    </w:pPr>
    <w:r>
      <w:rPr>
        <w:noProof/>
      </w:rPr>
      <w:pict w14:anchorId="4BB04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773266"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5B61118C" w:rsidR="00DA5414" w:rsidRDefault="00E51C2D">
    <w:pPr>
      <w:spacing w:line="200" w:lineRule="exact"/>
    </w:pPr>
    <w:r>
      <w:rPr>
        <w:noProof/>
      </w:rPr>
      <w:pict w14:anchorId="7A4F9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773267"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DA541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DA5414" w:rsidRDefault="00DA5414">
                              <w:pPr>
                                <w:pBdr>
                                  <w:bottom w:val="single" w:sz="4" w:space="1" w:color="auto"/>
                                </w:pBdr>
                              </w:pPr>
                              <w:r>
                                <w:fldChar w:fldCharType="begin"/>
                              </w:r>
                              <w:r>
                                <w:instrText>PAGE   \* MERGEFORMAT</w:instrText>
                              </w:r>
                              <w:r>
                                <w:fldChar w:fldCharType="separate"/>
                              </w:r>
                              <w:r w:rsidR="00303BBD" w:rsidRPr="00303BBD">
                                <w:rPr>
                                  <w:noProof/>
                                  <w:lang w:val="es-ES"/>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DA5414" w:rsidRDefault="00DA5414">
                        <w:pPr>
                          <w:pBdr>
                            <w:bottom w:val="single" w:sz="4" w:space="1" w:color="auto"/>
                          </w:pBdr>
                        </w:pPr>
                        <w:r>
                          <w:fldChar w:fldCharType="begin"/>
                        </w:r>
                        <w:r>
                          <w:instrText>PAGE   \* MERGEFORMAT</w:instrText>
                        </w:r>
                        <w:r>
                          <w:fldChar w:fldCharType="separate"/>
                        </w:r>
                        <w:r w:rsidR="00303BBD" w:rsidRPr="00303BBD">
                          <w:rPr>
                            <w:noProof/>
                            <w:lang w:val="es-ES"/>
                          </w:rPr>
                          <w:t>4</w:t>
                        </w:r>
                        <w:r>
                          <w:fldChar w:fldCharType="end"/>
                        </w:r>
                      </w:p>
                    </w:txbxContent>
                  </v:textbox>
                  <w10:wrap anchorx="margin" anchory="margin"/>
                </v:rect>
              </w:pict>
            </mc:Fallback>
          </mc:AlternateContent>
        </w:r>
      </w:sdtContent>
    </w:sdt>
  </w:p>
  <w:p w14:paraId="333B5074" w14:textId="77777777" w:rsidR="00DA5414" w:rsidRDefault="00DA5414">
    <w:pPr>
      <w:spacing w:line="200" w:lineRule="exact"/>
    </w:pPr>
  </w:p>
  <w:p w14:paraId="211C8133" w14:textId="77777777" w:rsidR="00DA5414" w:rsidRDefault="00DA5414">
    <w:pPr>
      <w:spacing w:line="200" w:lineRule="exact"/>
    </w:pPr>
  </w:p>
  <w:p w14:paraId="43C56F01" w14:textId="77777777" w:rsidR="00DA5414" w:rsidRDefault="00DA5414">
    <w:pPr>
      <w:spacing w:line="200" w:lineRule="exact"/>
    </w:pPr>
  </w:p>
  <w:p w14:paraId="2734DE85" w14:textId="77777777" w:rsidR="00DA5414" w:rsidRDefault="00DA5414">
    <w:pPr>
      <w:spacing w:line="200" w:lineRule="exact"/>
    </w:pPr>
  </w:p>
  <w:p w14:paraId="44EBB386" w14:textId="77777777" w:rsidR="00DA5414" w:rsidRDefault="00DA5414">
    <w:pPr>
      <w:spacing w:line="200" w:lineRule="exact"/>
    </w:pPr>
  </w:p>
  <w:p w14:paraId="06EF5D80" w14:textId="77777777" w:rsidR="00DA5414" w:rsidRDefault="00DA5414">
    <w:pPr>
      <w:spacing w:line="200" w:lineRule="exact"/>
    </w:pPr>
  </w:p>
  <w:p w14:paraId="3E4764AC" w14:textId="77777777" w:rsidR="00DA5414" w:rsidRDefault="00DA5414">
    <w:pPr>
      <w:spacing w:line="200" w:lineRule="exact"/>
    </w:pPr>
  </w:p>
  <w:p w14:paraId="1205108D" w14:textId="53EDFA3E" w:rsidR="00DA5414" w:rsidRDefault="00DA541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7EE8" w14:textId="680EC107" w:rsidR="00D251E2" w:rsidRDefault="00E51C2D">
    <w:pPr>
      <w:pStyle w:val="Encabezado"/>
    </w:pPr>
    <w:r>
      <w:rPr>
        <w:noProof/>
      </w:rPr>
      <w:pict w14:anchorId="277FA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773265"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9B50C68C"/>
    <w:lvl w:ilvl="0" w:tplc="5B680D94">
      <w:start w:val="1"/>
      <w:numFmt w:val="lowerRoman"/>
      <w:lvlText w:val="%1."/>
      <w:lvlJc w:val="right"/>
      <w:pPr>
        <w:ind w:left="1287" w:hanging="720"/>
      </w:pPr>
      <w:rPr>
        <w:rFonts w:hint="default"/>
        <w:b w:val="0"/>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E0FD6"/>
    <w:multiLevelType w:val="hybridMultilevel"/>
    <w:tmpl w:val="9B98BDE0"/>
    <w:lvl w:ilvl="0" w:tplc="DEB21232">
      <w:start w:val="1"/>
      <w:numFmt w:val="low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96868"/>
    <w:multiLevelType w:val="hybridMultilevel"/>
    <w:tmpl w:val="F948ECD8"/>
    <w:lvl w:ilvl="0" w:tplc="857EC5B2">
      <w:start w:val="7"/>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E059A6"/>
    <w:multiLevelType w:val="hybridMultilevel"/>
    <w:tmpl w:val="0248D418"/>
    <w:lvl w:ilvl="0" w:tplc="413E5F00">
      <w:start w:val="1"/>
      <w:numFmt w:val="decimal"/>
      <w:lvlText w:val="%1."/>
      <w:lvlJc w:val="left"/>
      <w:pPr>
        <w:ind w:left="192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B71485"/>
    <w:multiLevelType w:val="hybridMultilevel"/>
    <w:tmpl w:val="1596A0B8"/>
    <w:lvl w:ilvl="0" w:tplc="34727ED2">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763D9D"/>
    <w:multiLevelType w:val="hybridMultilevel"/>
    <w:tmpl w:val="4D0C1D3E"/>
    <w:lvl w:ilvl="0" w:tplc="37F86DB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2A5C8B"/>
    <w:multiLevelType w:val="hybridMultilevel"/>
    <w:tmpl w:val="184685DC"/>
    <w:lvl w:ilvl="0" w:tplc="E408CBCC">
      <w:start w:val="1"/>
      <w:numFmt w:val="lowerRoman"/>
      <w:lvlText w:val="%1."/>
      <w:lvlJc w:val="right"/>
      <w:pPr>
        <w:ind w:left="720" w:hanging="360"/>
      </w:pPr>
      <w:rPr>
        <w:b/>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256C38"/>
    <w:multiLevelType w:val="hybridMultilevel"/>
    <w:tmpl w:val="231680C0"/>
    <w:lvl w:ilvl="0" w:tplc="B282BF60">
      <w:start w:val="1"/>
      <w:numFmt w:val="lowerLetter"/>
      <w:lvlText w:val="%1)"/>
      <w:lvlJc w:val="left"/>
      <w:pPr>
        <w:ind w:left="720" w:hanging="36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AA921DC"/>
    <w:multiLevelType w:val="hybridMultilevel"/>
    <w:tmpl w:val="ACE09FCA"/>
    <w:lvl w:ilvl="0" w:tplc="8338679A">
      <w:start w:val="1"/>
      <w:numFmt w:val="lowerLetter"/>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0C555C"/>
    <w:multiLevelType w:val="hybridMultilevel"/>
    <w:tmpl w:val="0BB8F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A676F0"/>
    <w:multiLevelType w:val="hybridMultilevel"/>
    <w:tmpl w:val="6A129936"/>
    <w:lvl w:ilvl="0" w:tplc="3300D21A">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6"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13"/>
  </w:num>
  <w:num w:numId="5">
    <w:abstractNumId w:val="9"/>
  </w:num>
  <w:num w:numId="6">
    <w:abstractNumId w:val="7"/>
  </w:num>
  <w:num w:numId="7">
    <w:abstractNumId w:val="1"/>
  </w:num>
  <w:num w:numId="8">
    <w:abstractNumId w:val="21"/>
  </w:num>
  <w:num w:numId="9">
    <w:abstractNumId w:val="0"/>
  </w:num>
  <w:num w:numId="10">
    <w:abstractNumId w:val="15"/>
  </w:num>
  <w:num w:numId="11">
    <w:abstractNumId w:val="35"/>
  </w:num>
  <w:num w:numId="12">
    <w:abstractNumId w:val="23"/>
  </w:num>
  <w:num w:numId="13">
    <w:abstractNumId w:val="38"/>
  </w:num>
  <w:num w:numId="14">
    <w:abstractNumId w:val="26"/>
  </w:num>
  <w:num w:numId="15">
    <w:abstractNumId w:val="8"/>
  </w:num>
  <w:num w:numId="16">
    <w:abstractNumId w:val="25"/>
  </w:num>
  <w:num w:numId="17">
    <w:abstractNumId w:val="14"/>
  </w:num>
  <w:num w:numId="18">
    <w:abstractNumId w:val="24"/>
  </w:num>
  <w:num w:numId="19">
    <w:abstractNumId w:val="37"/>
  </w:num>
  <w:num w:numId="20">
    <w:abstractNumId w:val="30"/>
  </w:num>
  <w:num w:numId="21">
    <w:abstractNumId w:val="6"/>
  </w:num>
  <w:num w:numId="22">
    <w:abstractNumId w:val="3"/>
  </w:num>
  <w:num w:numId="23">
    <w:abstractNumId w:val="28"/>
  </w:num>
  <w:num w:numId="24">
    <w:abstractNumId w:val="11"/>
  </w:num>
  <w:num w:numId="25">
    <w:abstractNumId w:val="16"/>
  </w:num>
  <w:num w:numId="26">
    <w:abstractNumId w:val="36"/>
  </w:num>
  <w:num w:numId="27">
    <w:abstractNumId w:val="19"/>
  </w:num>
  <w:num w:numId="28">
    <w:abstractNumId w:val="29"/>
  </w:num>
  <w:num w:numId="29">
    <w:abstractNumId w:val="12"/>
  </w:num>
  <w:num w:numId="30">
    <w:abstractNumId w:val="31"/>
  </w:num>
  <w:num w:numId="31">
    <w:abstractNumId w:val="39"/>
  </w:num>
  <w:num w:numId="32">
    <w:abstractNumId w:val="18"/>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3"/>
  </w:num>
  <w:num w:numId="37">
    <w:abstractNumId w:val="17"/>
  </w:num>
  <w:num w:numId="38">
    <w:abstractNumId w:val="2"/>
  </w:num>
  <w:num w:numId="39">
    <w:abstractNumId w:val="40"/>
  </w:num>
  <w:num w:numId="40">
    <w:abstractNumId w:val="4"/>
  </w:num>
  <w:num w:numId="41">
    <w:abstractNumId w:val="22"/>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1FE1"/>
    <w:rsid w:val="00026E41"/>
    <w:rsid w:val="00027FA6"/>
    <w:rsid w:val="00034F5D"/>
    <w:rsid w:val="00036802"/>
    <w:rsid w:val="000376B5"/>
    <w:rsid w:val="00037B56"/>
    <w:rsid w:val="00040229"/>
    <w:rsid w:val="00040ABE"/>
    <w:rsid w:val="00044BE5"/>
    <w:rsid w:val="0004611C"/>
    <w:rsid w:val="00047CD9"/>
    <w:rsid w:val="000511DB"/>
    <w:rsid w:val="0005335E"/>
    <w:rsid w:val="00054D63"/>
    <w:rsid w:val="00055576"/>
    <w:rsid w:val="0006134E"/>
    <w:rsid w:val="00064E24"/>
    <w:rsid w:val="00066609"/>
    <w:rsid w:val="000703B5"/>
    <w:rsid w:val="000778C5"/>
    <w:rsid w:val="000800F8"/>
    <w:rsid w:val="0008286C"/>
    <w:rsid w:val="000910E6"/>
    <w:rsid w:val="00094547"/>
    <w:rsid w:val="0009586D"/>
    <w:rsid w:val="00095EAC"/>
    <w:rsid w:val="0009616B"/>
    <w:rsid w:val="00096F89"/>
    <w:rsid w:val="000A7452"/>
    <w:rsid w:val="000B240F"/>
    <w:rsid w:val="000B5097"/>
    <w:rsid w:val="000C071E"/>
    <w:rsid w:val="000C0BE6"/>
    <w:rsid w:val="000C39D2"/>
    <w:rsid w:val="000C6251"/>
    <w:rsid w:val="000C6C19"/>
    <w:rsid w:val="000D2229"/>
    <w:rsid w:val="000D45FA"/>
    <w:rsid w:val="000E3377"/>
    <w:rsid w:val="001011B1"/>
    <w:rsid w:val="001016E1"/>
    <w:rsid w:val="00102E7B"/>
    <w:rsid w:val="001033A4"/>
    <w:rsid w:val="00104865"/>
    <w:rsid w:val="00117BA4"/>
    <w:rsid w:val="00117E73"/>
    <w:rsid w:val="00125B30"/>
    <w:rsid w:val="0013411D"/>
    <w:rsid w:val="001351CB"/>
    <w:rsid w:val="001372FB"/>
    <w:rsid w:val="001421D2"/>
    <w:rsid w:val="00143128"/>
    <w:rsid w:val="00143BD6"/>
    <w:rsid w:val="0014772D"/>
    <w:rsid w:val="00161499"/>
    <w:rsid w:val="00165872"/>
    <w:rsid w:val="00165C60"/>
    <w:rsid w:val="001677AF"/>
    <w:rsid w:val="0017171F"/>
    <w:rsid w:val="00172EDE"/>
    <w:rsid w:val="00174B50"/>
    <w:rsid w:val="0017618A"/>
    <w:rsid w:val="00180AE7"/>
    <w:rsid w:val="00183733"/>
    <w:rsid w:val="0018649D"/>
    <w:rsid w:val="0019255C"/>
    <w:rsid w:val="001977FE"/>
    <w:rsid w:val="001A2852"/>
    <w:rsid w:val="001A5326"/>
    <w:rsid w:val="001A582F"/>
    <w:rsid w:val="001A6983"/>
    <w:rsid w:val="001B2E96"/>
    <w:rsid w:val="001B6EEF"/>
    <w:rsid w:val="001B7897"/>
    <w:rsid w:val="001C0447"/>
    <w:rsid w:val="001C33DE"/>
    <w:rsid w:val="001C5748"/>
    <w:rsid w:val="001C593C"/>
    <w:rsid w:val="001C6162"/>
    <w:rsid w:val="001D2335"/>
    <w:rsid w:val="001E4152"/>
    <w:rsid w:val="001E4179"/>
    <w:rsid w:val="001E6781"/>
    <w:rsid w:val="001F17C5"/>
    <w:rsid w:val="001F4AA3"/>
    <w:rsid w:val="001F4FE4"/>
    <w:rsid w:val="001F5124"/>
    <w:rsid w:val="00201675"/>
    <w:rsid w:val="00203090"/>
    <w:rsid w:val="00204D12"/>
    <w:rsid w:val="00207920"/>
    <w:rsid w:val="00207A93"/>
    <w:rsid w:val="00214F7A"/>
    <w:rsid w:val="00216B40"/>
    <w:rsid w:val="0022610B"/>
    <w:rsid w:val="002261B1"/>
    <w:rsid w:val="00230705"/>
    <w:rsid w:val="00230872"/>
    <w:rsid w:val="00233534"/>
    <w:rsid w:val="00242853"/>
    <w:rsid w:val="00247CC4"/>
    <w:rsid w:val="00250608"/>
    <w:rsid w:val="0025539C"/>
    <w:rsid w:val="00256078"/>
    <w:rsid w:val="00257B1C"/>
    <w:rsid w:val="00260F53"/>
    <w:rsid w:val="002616F0"/>
    <w:rsid w:val="00264672"/>
    <w:rsid w:val="00271087"/>
    <w:rsid w:val="00272771"/>
    <w:rsid w:val="00272E8D"/>
    <w:rsid w:val="0027373E"/>
    <w:rsid w:val="00273926"/>
    <w:rsid w:val="00275BDE"/>
    <w:rsid w:val="00276089"/>
    <w:rsid w:val="00282DD8"/>
    <w:rsid w:val="00290ED8"/>
    <w:rsid w:val="00291D95"/>
    <w:rsid w:val="002926FB"/>
    <w:rsid w:val="00297C25"/>
    <w:rsid w:val="002A286E"/>
    <w:rsid w:val="002A2EEF"/>
    <w:rsid w:val="002A4B48"/>
    <w:rsid w:val="002B0038"/>
    <w:rsid w:val="002B0B1C"/>
    <w:rsid w:val="002C3354"/>
    <w:rsid w:val="002C7BF1"/>
    <w:rsid w:val="002D0050"/>
    <w:rsid w:val="002D1F86"/>
    <w:rsid w:val="002E0EAF"/>
    <w:rsid w:val="002E2443"/>
    <w:rsid w:val="002E3055"/>
    <w:rsid w:val="002E3624"/>
    <w:rsid w:val="002E6F31"/>
    <w:rsid w:val="002F2EED"/>
    <w:rsid w:val="002F3C23"/>
    <w:rsid w:val="00302B86"/>
    <w:rsid w:val="00303BBD"/>
    <w:rsid w:val="00304572"/>
    <w:rsid w:val="0030607A"/>
    <w:rsid w:val="00306FD6"/>
    <w:rsid w:val="00313BB6"/>
    <w:rsid w:val="00313C84"/>
    <w:rsid w:val="0031749E"/>
    <w:rsid w:val="00324C53"/>
    <w:rsid w:val="0032748A"/>
    <w:rsid w:val="00327FD1"/>
    <w:rsid w:val="00333121"/>
    <w:rsid w:val="00335409"/>
    <w:rsid w:val="0033701D"/>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90AEB"/>
    <w:rsid w:val="003962AE"/>
    <w:rsid w:val="003A456B"/>
    <w:rsid w:val="003B10B2"/>
    <w:rsid w:val="003B25D8"/>
    <w:rsid w:val="003B3901"/>
    <w:rsid w:val="003B3C97"/>
    <w:rsid w:val="003B6D68"/>
    <w:rsid w:val="003C1C72"/>
    <w:rsid w:val="003C2AE6"/>
    <w:rsid w:val="003C34FB"/>
    <w:rsid w:val="003D0428"/>
    <w:rsid w:val="003D0C66"/>
    <w:rsid w:val="003D61AA"/>
    <w:rsid w:val="003D69A3"/>
    <w:rsid w:val="003D77D3"/>
    <w:rsid w:val="003E5042"/>
    <w:rsid w:val="003F0D90"/>
    <w:rsid w:val="003F24C8"/>
    <w:rsid w:val="0040048E"/>
    <w:rsid w:val="004010F8"/>
    <w:rsid w:val="0040142B"/>
    <w:rsid w:val="004059CC"/>
    <w:rsid w:val="00405CB8"/>
    <w:rsid w:val="004149DC"/>
    <w:rsid w:val="00420071"/>
    <w:rsid w:val="00422562"/>
    <w:rsid w:val="004258C2"/>
    <w:rsid w:val="00426623"/>
    <w:rsid w:val="00427EEC"/>
    <w:rsid w:val="00427FB9"/>
    <w:rsid w:val="004306FC"/>
    <w:rsid w:val="0043096D"/>
    <w:rsid w:val="004342B5"/>
    <w:rsid w:val="00434F58"/>
    <w:rsid w:val="004406FF"/>
    <w:rsid w:val="00452173"/>
    <w:rsid w:val="004523D6"/>
    <w:rsid w:val="00463997"/>
    <w:rsid w:val="00463DE7"/>
    <w:rsid w:val="00471770"/>
    <w:rsid w:val="00473460"/>
    <w:rsid w:val="00475A4C"/>
    <w:rsid w:val="004850BD"/>
    <w:rsid w:val="00486408"/>
    <w:rsid w:val="00486FA6"/>
    <w:rsid w:val="00486FE0"/>
    <w:rsid w:val="00491CD6"/>
    <w:rsid w:val="00493E6A"/>
    <w:rsid w:val="0049601A"/>
    <w:rsid w:val="004A169A"/>
    <w:rsid w:val="004A2D29"/>
    <w:rsid w:val="004A7E7B"/>
    <w:rsid w:val="004B0362"/>
    <w:rsid w:val="004B1202"/>
    <w:rsid w:val="004B356E"/>
    <w:rsid w:val="004B35F5"/>
    <w:rsid w:val="004B36DC"/>
    <w:rsid w:val="004B485B"/>
    <w:rsid w:val="004B5376"/>
    <w:rsid w:val="004B58D1"/>
    <w:rsid w:val="004C4D76"/>
    <w:rsid w:val="004C5682"/>
    <w:rsid w:val="004D10E1"/>
    <w:rsid w:val="004D6F2D"/>
    <w:rsid w:val="004E574B"/>
    <w:rsid w:val="004E76BA"/>
    <w:rsid w:val="004F4289"/>
    <w:rsid w:val="00500D98"/>
    <w:rsid w:val="00502484"/>
    <w:rsid w:val="005036CE"/>
    <w:rsid w:val="00503A11"/>
    <w:rsid w:val="00511E42"/>
    <w:rsid w:val="00512FE1"/>
    <w:rsid w:val="0051452F"/>
    <w:rsid w:val="00516EA0"/>
    <w:rsid w:val="00521031"/>
    <w:rsid w:val="00524B7A"/>
    <w:rsid w:val="00525F46"/>
    <w:rsid w:val="005260B0"/>
    <w:rsid w:val="0052691F"/>
    <w:rsid w:val="00527B8C"/>
    <w:rsid w:val="00532903"/>
    <w:rsid w:val="0053306D"/>
    <w:rsid w:val="00533AF8"/>
    <w:rsid w:val="005352D3"/>
    <w:rsid w:val="00541333"/>
    <w:rsid w:val="0054299F"/>
    <w:rsid w:val="00542C96"/>
    <w:rsid w:val="00543C8E"/>
    <w:rsid w:val="00547246"/>
    <w:rsid w:val="0054776E"/>
    <w:rsid w:val="00547D09"/>
    <w:rsid w:val="00555EDC"/>
    <w:rsid w:val="00556208"/>
    <w:rsid w:val="00557518"/>
    <w:rsid w:val="0056032E"/>
    <w:rsid w:val="005644DE"/>
    <w:rsid w:val="005661B7"/>
    <w:rsid w:val="0057120C"/>
    <w:rsid w:val="00590D8F"/>
    <w:rsid w:val="00591255"/>
    <w:rsid w:val="005913FC"/>
    <w:rsid w:val="005A40E3"/>
    <w:rsid w:val="005A4A5E"/>
    <w:rsid w:val="005A4C9E"/>
    <w:rsid w:val="005A641C"/>
    <w:rsid w:val="005A65CD"/>
    <w:rsid w:val="005C418A"/>
    <w:rsid w:val="005C7ACD"/>
    <w:rsid w:val="005D0895"/>
    <w:rsid w:val="005D1791"/>
    <w:rsid w:val="005D1F8A"/>
    <w:rsid w:val="005D1FDB"/>
    <w:rsid w:val="005D3405"/>
    <w:rsid w:val="005D34CE"/>
    <w:rsid w:val="005D3C31"/>
    <w:rsid w:val="005D4B1E"/>
    <w:rsid w:val="005D6F14"/>
    <w:rsid w:val="005E0FF6"/>
    <w:rsid w:val="005E2FF9"/>
    <w:rsid w:val="005E38A0"/>
    <w:rsid w:val="005E49ED"/>
    <w:rsid w:val="005F574E"/>
    <w:rsid w:val="005F5FD3"/>
    <w:rsid w:val="00602B47"/>
    <w:rsid w:val="006114BC"/>
    <w:rsid w:val="006150D4"/>
    <w:rsid w:val="00626890"/>
    <w:rsid w:val="00627225"/>
    <w:rsid w:val="006334AE"/>
    <w:rsid w:val="006438FB"/>
    <w:rsid w:val="00650BDA"/>
    <w:rsid w:val="00652AE7"/>
    <w:rsid w:val="006531E5"/>
    <w:rsid w:val="00653BBD"/>
    <w:rsid w:val="006569DC"/>
    <w:rsid w:val="0066122E"/>
    <w:rsid w:val="006623E4"/>
    <w:rsid w:val="00667675"/>
    <w:rsid w:val="00670579"/>
    <w:rsid w:val="00675FAF"/>
    <w:rsid w:val="00683038"/>
    <w:rsid w:val="00683480"/>
    <w:rsid w:val="006839F5"/>
    <w:rsid w:val="0068423D"/>
    <w:rsid w:val="00686C1F"/>
    <w:rsid w:val="00694169"/>
    <w:rsid w:val="006944F2"/>
    <w:rsid w:val="006A41DE"/>
    <w:rsid w:val="006A4497"/>
    <w:rsid w:val="006A5D39"/>
    <w:rsid w:val="006A7B08"/>
    <w:rsid w:val="006B17F1"/>
    <w:rsid w:val="006B280E"/>
    <w:rsid w:val="006B304C"/>
    <w:rsid w:val="006B5142"/>
    <w:rsid w:val="006B6D48"/>
    <w:rsid w:val="006C11AA"/>
    <w:rsid w:val="006D421A"/>
    <w:rsid w:val="006D7A6C"/>
    <w:rsid w:val="006E0CF1"/>
    <w:rsid w:val="006F345B"/>
    <w:rsid w:val="006F3CE3"/>
    <w:rsid w:val="006F732B"/>
    <w:rsid w:val="0070149C"/>
    <w:rsid w:val="00701D2A"/>
    <w:rsid w:val="007120C8"/>
    <w:rsid w:val="00712233"/>
    <w:rsid w:val="00715B4B"/>
    <w:rsid w:val="00723000"/>
    <w:rsid w:val="0072341A"/>
    <w:rsid w:val="00730C43"/>
    <w:rsid w:val="00731D11"/>
    <w:rsid w:val="00732DEF"/>
    <w:rsid w:val="0073306B"/>
    <w:rsid w:val="00742288"/>
    <w:rsid w:val="007442AA"/>
    <w:rsid w:val="007478FF"/>
    <w:rsid w:val="007530FC"/>
    <w:rsid w:val="00753FCD"/>
    <w:rsid w:val="00755927"/>
    <w:rsid w:val="00757010"/>
    <w:rsid w:val="00757D82"/>
    <w:rsid w:val="00762390"/>
    <w:rsid w:val="00767E64"/>
    <w:rsid w:val="00783FEE"/>
    <w:rsid w:val="00795B97"/>
    <w:rsid w:val="007A0A3C"/>
    <w:rsid w:val="007A3684"/>
    <w:rsid w:val="007A6DB2"/>
    <w:rsid w:val="007B6AAD"/>
    <w:rsid w:val="007C1ACC"/>
    <w:rsid w:val="007C2AC3"/>
    <w:rsid w:val="007D056C"/>
    <w:rsid w:val="007D5CCB"/>
    <w:rsid w:val="007E1155"/>
    <w:rsid w:val="007F0777"/>
    <w:rsid w:val="007F6E01"/>
    <w:rsid w:val="008016C8"/>
    <w:rsid w:val="0080198E"/>
    <w:rsid w:val="008051B8"/>
    <w:rsid w:val="008134FA"/>
    <w:rsid w:val="0081649C"/>
    <w:rsid w:val="00820239"/>
    <w:rsid w:val="00820D26"/>
    <w:rsid w:val="00821482"/>
    <w:rsid w:val="00821D1D"/>
    <w:rsid w:val="00822A3C"/>
    <w:rsid w:val="0083437A"/>
    <w:rsid w:val="00834A79"/>
    <w:rsid w:val="008375B2"/>
    <w:rsid w:val="00841118"/>
    <w:rsid w:val="00844F63"/>
    <w:rsid w:val="00846F2E"/>
    <w:rsid w:val="00850E49"/>
    <w:rsid w:val="008522F9"/>
    <w:rsid w:val="0085575C"/>
    <w:rsid w:val="00857FD1"/>
    <w:rsid w:val="008630A4"/>
    <w:rsid w:val="008631F3"/>
    <w:rsid w:val="008741BD"/>
    <w:rsid w:val="00875705"/>
    <w:rsid w:val="00883DF7"/>
    <w:rsid w:val="008866D3"/>
    <w:rsid w:val="00890D6D"/>
    <w:rsid w:val="00895B69"/>
    <w:rsid w:val="00897484"/>
    <w:rsid w:val="008A0506"/>
    <w:rsid w:val="008A7477"/>
    <w:rsid w:val="008B05F9"/>
    <w:rsid w:val="008B2FDB"/>
    <w:rsid w:val="008B4B37"/>
    <w:rsid w:val="008B625C"/>
    <w:rsid w:val="008B68CA"/>
    <w:rsid w:val="008C0055"/>
    <w:rsid w:val="008C76EC"/>
    <w:rsid w:val="008D7A73"/>
    <w:rsid w:val="008E297A"/>
    <w:rsid w:val="008E5760"/>
    <w:rsid w:val="008E5BD0"/>
    <w:rsid w:val="008E6591"/>
    <w:rsid w:val="008E6BFF"/>
    <w:rsid w:val="008E6C2B"/>
    <w:rsid w:val="009027B3"/>
    <w:rsid w:val="00905372"/>
    <w:rsid w:val="009137B2"/>
    <w:rsid w:val="00914439"/>
    <w:rsid w:val="00922E12"/>
    <w:rsid w:val="0092347B"/>
    <w:rsid w:val="00925C14"/>
    <w:rsid w:val="00925D3D"/>
    <w:rsid w:val="00932084"/>
    <w:rsid w:val="009343D5"/>
    <w:rsid w:val="00937D12"/>
    <w:rsid w:val="00940C10"/>
    <w:rsid w:val="009451DB"/>
    <w:rsid w:val="009457F1"/>
    <w:rsid w:val="009534D1"/>
    <w:rsid w:val="009568D0"/>
    <w:rsid w:val="00957D5B"/>
    <w:rsid w:val="00957FA4"/>
    <w:rsid w:val="009624EA"/>
    <w:rsid w:val="00962EE1"/>
    <w:rsid w:val="009723DD"/>
    <w:rsid w:val="00977F17"/>
    <w:rsid w:val="00980021"/>
    <w:rsid w:val="00981FDC"/>
    <w:rsid w:val="009828DE"/>
    <w:rsid w:val="00985048"/>
    <w:rsid w:val="009864C2"/>
    <w:rsid w:val="0098791F"/>
    <w:rsid w:val="00990AF1"/>
    <w:rsid w:val="0099118F"/>
    <w:rsid w:val="009A646A"/>
    <w:rsid w:val="009A7915"/>
    <w:rsid w:val="009B0289"/>
    <w:rsid w:val="009B6C90"/>
    <w:rsid w:val="009C0BF8"/>
    <w:rsid w:val="009C6B77"/>
    <w:rsid w:val="009C781E"/>
    <w:rsid w:val="009D0FAE"/>
    <w:rsid w:val="009D3AAF"/>
    <w:rsid w:val="009D3F11"/>
    <w:rsid w:val="009D562C"/>
    <w:rsid w:val="009D7F8C"/>
    <w:rsid w:val="009E3F40"/>
    <w:rsid w:val="009F0005"/>
    <w:rsid w:val="009F3A50"/>
    <w:rsid w:val="009F3C13"/>
    <w:rsid w:val="00A02E25"/>
    <w:rsid w:val="00A03809"/>
    <w:rsid w:val="00A06C6F"/>
    <w:rsid w:val="00A11992"/>
    <w:rsid w:val="00A13079"/>
    <w:rsid w:val="00A13225"/>
    <w:rsid w:val="00A2339D"/>
    <w:rsid w:val="00A2740C"/>
    <w:rsid w:val="00A3224F"/>
    <w:rsid w:val="00A324FF"/>
    <w:rsid w:val="00A42C62"/>
    <w:rsid w:val="00A44436"/>
    <w:rsid w:val="00A47B4C"/>
    <w:rsid w:val="00A5195F"/>
    <w:rsid w:val="00A571B6"/>
    <w:rsid w:val="00A57DA1"/>
    <w:rsid w:val="00A60D73"/>
    <w:rsid w:val="00A612E0"/>
    <w:rsid w:val="00A6520B"/>
    <w:rsid w:val="00A768B1"/>
    <w:rsid w:val="00A76DFE"/>
    <w:rsid w:val="00A80825"/>
    <w:rsid w:val="00A80D71"/>
    <w:rsid w:val="00A829EB"/>
    <w:rsid w:val="00A84AC8"/>
    <w:rsid w:val="00A86213"/>
    <w:rsid w:val="00A87CFE"/>
    <w:rsid w:val="00A94DBC"/>
    <w:rsid w:val="00A9659C"/>
    <w:rsid w:val="00AA31C9"/>
    <w:rsid w:val="00AA5048"/>
    <w:rsid w:val="00AB05EC"/>
    <w:rsid w:val="00AB3D50"/>
    <w:rsid w:val="00AC3197"/>
    <w:rsid w:val="00AC4BE2"/>
    <w:rsid w:val="00AC574C"/>
    <w:rsid w:val="00AC5D2B"/>
    <w:rsid w:val="00AD015F"/>
    <w:rsid w:val="00AD0700"/>
    <w:rsid w:val="00AD1CAD"/>
    <w:rsid w:val="00AD369B"/>
    <w:rsid w:val="00AD38D4"/>
    <w:rsid w:val="00AE11FE"/>
    <w:rsid w:val="00AF3C20"/>
    <w:rsid w:val="00AF4725"/>
    <w:rsid w:val="00AF4891"/>
    <w:rsid w:val="00AF741F"/>
    <w:rsid w:val="00AF7B9D"/>
    <w:rsid w:val="00B01528"/>
    <w:rsid w:val="00B05A18"/>
    <w:rsid w:val="00B11AFF"/>
    <w:rsid w:val="00B11B6A"/>
    <w:rsid w:val="00B13315"/>
    <w:rsid w:val="00B23FF7"/>
    <w:rsid w:val="00B2599F"/>
    <w:rsid w:val="00B27604"/>
    <w:rsid w:val="00B3287C"/>
    <w:rsid w:val="00B35043"/>
    <w:rsid w:val="00B365E6"/>
    <w:rsid w:val="00B40E4A"/>
    <w:rsid w:val="00B42DDE"/>
    <w:rsid w:val="00B4455F"/>
    <w:rsid w:val="00B46226"/>
    <w:rsid w:val="00B5182B"/>
    <w:rsid w:val="00B51CB8"/>
    <w:rsid w:val="00B51FC6"/>
    <w:rsid w:val="00B56E03"/>
    <w:rsid w:val="00B60354"/>
    <w:rsid w:val="00B622C0"/>
    <w:rsid w:val="00B64042"/>
    <w:rsid w:val="00B73BBC"/>
    <w:rsid w:val="00B76830"/>
    <w:rsid w:val="00B83B99"/>
    <w:rsid w:val="00B840C9"/>
    <w:rsid w:val="00B87352"/>
    <w:rsid w:val="00B9003B"/>
    <w:rsid w:val="00B907C5"/>
    <w:rsid w:val="00B949D8"/>
    <w:rsid w:val="00BA056C"/>
    <w:rsid w:val="00BA4D00"/>
    <w:rsid w:val="00BA5508"/>
    <w:rsid w:val="00BB5E44"/>
    <w:rsid w:val="00BC68BE"/>
    <w:rsid w:val="00BD2959"/>
    <w:rsid w:val="00BD5367"/>
    <w:rsid w:val="00BE29AA"/>
    <w:rsid w:val="00BE2DB7"/>
    <w:rsid w:val="00BE6927"/>
    <w:rsid w:val="00BF0053"/>
    <w:rsid w:val="00BF0118"/>
    <w:rsid w:val="00BF0CD8"/>
    <w:rsid w:val="00BF0D87"/>
    <w:rsid w:val="00BF6313"/>
    <w:rsid w:val="00BF6E16"/>
    <w:rsid w:val="00BF765E"/>
    <w:rsid w:val="00BF7BFF"/>
    <w:rsid w:val="00C019A5"/>
    <w:rsid w:val="00C0401D"/>
    <w:rsid w:val="00C05129"/>
    <w:rsid w:val="00C0655D"/>
    <w:rsid w:val="00C122F1"/>
    <w:rsid w:val="00C211B6"/>
    <w:rsid w:val="00C24A65"/>
    <w:rsid w:val="00C276FF"/>
    <w:rsid w:val="00C314F0"/>
    <w:rsid w:val="00C34695"/>
    <w:rsid w:val="00C37DEF"/>
    <w:rsid w:val="00C37E80"/>
    <w:rsid w:val="00C43272"/>
    <w:rsid w:val="00C451F6"/>
    <w:rsid w:val="00C47258"/>
    <w:rsid w:val="00C47799"/>
    <w:rsid w:val="00C541DE"/>
    <w:rsid w:val="00C5547F"/>
    <w:rsid w:val="00C554AD"/>
    <w:rsid w:val="00C62883"/>
    <w:rsid w:val="00C66408"/>
    <w:rsid w:val="00C708EB"/>
    <w:rsid w:val="00C71069"/>
    <w:rsid w:val="00C7240C"/>
    <w:rsid w:val="00C7272C"/>
    <w:rsid w:val="00C74000"/>
    <w:rsid w:val="00C76BD7"/>
    <w:rsid w:val="00C8284E"/>
    <w:rsid w:val="00C8434A"/>
    <w:rsid w:val="00C86238"/>
    <w:rsid w:val="00C86E1A"/>
    <w:rsid w:val="00C914C7"/>
    <w:rsid w:val="00C91F5B"/>
    <w:rsid w:val="00CA2668"/>
    <w:rsid w:val="00CA3110"/>
    <w:rsid w:val="00CA6FDB"/>
    <w:rsid w:val="00CB1F82"/>
    <w:rsid w:val="00CC65E7"/>
    <w:rsid w:val="00CD2CCC"/>
    <w:rsid w:val="00CE158D"/>
    <w:rsid w:val="00CF0F58"/>
    <w:rsid w:val="00CF16BD"/>
    <w:rsid w:val="00CF17FD"/>
    <w:rsid w:val="00CF4DC1"/>
    <w:rsid w:val="00D00D1D"/>
    <w:rsid w:val="00D017BB"/>
    <w:rsid w:val="00D02BD7"/>
    <w:rsid w:val="00D03EBC"/>
    <w:rsid w:val="00D040E4"/>
    <w:rsid w:val="00D050CC"/>
    <w:rsid w:val="00D06A9F"/>
    <w:rsid w:val="00D07566"/>
    <w:rsid w:val="00D14280"/>
    <w:rsid w:val="00D21369"/>
    <w:rsid w:val="00D24296"/>
    <w:rsid w:val="00D251E2"/>
    <w:rsid w:val="00D3066A"/>
    <w:rsid w:val="00D35FEA"/>
    <w:rsid w:val="00D416F7"/>
    <w:rsid w:val="00D477BE"/>
    <w:rsid w:val="00D51A72"/>
    <w:rsid w:val="00D61816"/>
    <w:rsid w:val="00D636BD"/>
    <w:rsid w:val="00D73E6C"/>
    <w:rsid w:val="00D8174C"/>
    <w:rsid w:val="00D83BB4"/>
    <w:rsid w:val="00D85BD6"/>
    <w:rsid w:val="00D907C4"/>
    <w:rsid w:val="00D92233"/>
    <w:rsid w:val="00D9251F"/>
    <w:rsid w:val="00D93ABB"/>
    <w:rsid w:val="00D943B6"/>
    <w:rsid w:val="00D96649"/>
    <w:rsid w:val="00D978CB"/>
    <w:rsid w:val="00DA5414"/>
    <w:rsid w:val="00DA637E"/>
    <w:rsid w:val="00DA79F6"/>
    <w:rsid w:val="00DB5E91"/>
    <w:rsid w:val="00DB7C80"/>
    <w:rsid w:val="00DC30F6"/>
    <w:rsid w:val="00DC3444"/>
    <w:rsid w:val="00DC6F19"/>
    <w:rsid w:val="00DD06D7"/>
    <w:rsid w:val="00DD4C19"/>
    <w:rsid w:val="00DE211A"/>
    <w:rsid w:val="00DE4E13"/>
    <w:rsid w:val="00DE53EB"/>
    <w:rsid w:val="00DF2DE8"/>
    <w:rsid w:val="00DF4857"/>
    <w:rsid w:val="00DF5936"/>
    <w:rsid w:val="00E0741B"/>
    <w:rsid w:val="00E14B24"/>
    <w:rsid w:val="00E166D6"/>
    <w:rsid w:val="00E33AD1"/>
    <w:rsid w:val="00E377C2"/>
    <w:rsid w:val="00E47C1F"/>
    <w:rsid w:val="00E51C2D"/>
    <w:rsid w:val="00E51EA6"/>
    <w:rsid w:val="00E52D13"/>
    <w:rsid w:val="00E53713"/>
    <w:rsid w:val="00E54745"/>
    <w:rsid w:val="00E55FCD"/>
    <w:rsid w:val="00E65384"/>
    <w:rsid w:val="00E70C4C"/>
    <w:rsid w:val="00E71F5C"/>
    <w:rsid w:val="00E750D0"/>
    <w:rsid w:val="00E8011B"/>
    <w:rsid w:val="00E8018E"/>
    <w:rsid w:val="00E8333D"/>
    <w:rsid w:val="00E83713"/>
    <w:rsid w:val="00E87F80"/>
    <w:rsid w:val="00E9141C"/>
    <w:rsid w:val="00E91C64"/>
    <w:rsid w:val="00E93E13"/>
    <w:rsid w:val="00E96C61"/>
    <w:rsid w:val="00E96F5E"/>
    <w:rsid w:val="00E97908"/>
    <w:rsid w:val="00EA0590"/>
    <w:rsid w:val="00EA17AC"/>
    <w:rsid w:val="00EB513C"/>
    <w:rsid w:val="00EC152A"/>
    <w:rsid w:val="00EC1E18"/>
    <w:rsid w:val="00EC3040"/>
    <w:rsid w:val="00EC53AC"/>
    <w:rsid w:val="00ED41AE"/>
    <w:rsid w:val="00ED64DC"/>
    <w:rsid w:val="00ED68B1"/>
    <w:rsid w:val="00EE329E"/>
    <w:rsid w:val="00EE5FA5"/>
    <w:rsid w:val="00EF43CA"/>
    <w:rsid w:val="00F0018F"/>
    <w:rsid w:val="00F04577"/>
    <w:rsid w:val="00F053BB"/>
    <w:rsid w:val="00F066A5"/>
    <w:rsid w:val="00F11899"/>
    <w:rsid w:val="00F12E0F"/>
    <w:rsid w:val="00F138FD"/>
    <w:rsid w:val="00F15BC7"/>
    <w:rsid w:val="00F202A4"/>
    <w:rsid w:val="00F21D29"/>
    <w:rsid w:val="00F265F3"/>
    <w:rsid w:val="00F27D56"/>
    <w:rsid w:val="00F33774"/>
    <w:rsid w:val="00F352CD"/>
    <w:rsid w:val="00F3601F"/>
    <w:rsid w:val="00F369DA"/>
    <w:rsid w:val="00F434D2"/>
    <w:rsid w:val="00F62BB5"/>
    <w:rsid w:val="00F62EED"/>
    <w:rsid w:val="00F648D0"/>
    <w:rsid w:val="00F65037"/>
    <w:rsid w:val="00F706DF"/>
    <w:rsid w:val="00F730E2"/>
    <w:rsid w:val="00F77408"/>
    <w:rsid w:val="00F8012F"/>
    <w:rsid w:val="00F82E72"/>
    <w:rsid w:val="00F87085"/>
    <w:rsid w:val="00F87B13"/>
    <w:rsid w:val="00FA120C"/>
    <w:rsid w:val="00FA162C"/>
    <w:rsid w:val="00FA5E61"/>
    <w:rsid w:val="00FA6F66"/>
    <w:rsid w:val="00FB6458"/>
    <w:rsid w:val="00FB79C9"/>
    <w:rsid w:val="00FB7B7D"/>
    <w:rsid w:val="00FC24F6"/>
    <w:rsid w:val="00FC2E2D"/>
    <w:rsid w:val="00FC3CCC"/>
    <w:rsid w:val="00FC45B6"/>
    <w:rsid w:val="00FD4942"/>
    <w:rsid w:val="00FE542B"/>
    <w:rsid w:val="00FE6359"/>
    <w:rsid w:val="00FE7EE4"/>
    <w:rsid w:val="00FF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F5E211A6-5BA1-4127-98FE-4434321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E166D6"/>
    <w:pPr>
      <w:tabs>
        <w:tab w:val="right" w:leader="dot" w:pos="8546"/>
      </w:tabs>
      <w:ind w:left="567"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table" w:styleId="Tablaconcuadrcula4-nfasis3">
    <w:name w:val="Grid Table 4 Accent 3"/>
    <w:basedOn w:val="Tablanormal"/>
    <w:uiPriority w:val="49"/>
    <w:rsid w:val="00302B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486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86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4E76BA"/>
    <w:rPr>
      <w:color w:val="605E5C"/>
      <w:shd w:val="clear" w:color="auto" w:fill="E1DFDD"/>
    </w:rPr>
  </w:style>
  <w:style w:type="character" w:customStyle="1" w:styleId="SinespaciadoCar">
    <w:name w:val="Sin espaciado Car"/>
    <w:link w:val="Sinespaciado"/>
    <w:uiPriority w:val="1"/>
    <w:rsid w:val="003C2A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159543584">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02439431">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794254165">
      <w:bodyDiv w:val="1"/>
      <w:marLeft w:val="0"/>
      <w:marRight w:val="0"/>
      <w:marTop w:val="0"/>
      <w:marBottom w:val="0"/>
      <w:divBdr>
        <w:top w:val="none" w:sz="0" w:space="0" w:color="auto"/>
        <w:left w:val="none" w:sz="0" w:space="0" w:color="auto"/>
        <w:bottom w:val="none" w:sz="0" w:space="0" w:color="auto"/>
        <w:right w:val="none" w:sz="0" w:space="0" w:color="auto"/>
      </w:divBdr>
    </w:div>
    <w:div w:id="978341901">
      <w:bodyDiv w:val="1"/>
      <w:marLeft w:val="0"/>
      <w:marRight w:val="0"/>
      <w:marTop w:val="0"/>
      <w:marBottom w:val="0"/>
      <w:divBdr>
        <w:top w:val="none" w:sz="0" w:space="0" w:color="auto"/>
        <w:left w:val="none" w:sz="0" w:space="0" w:color="auto"/>
        <w:bottom w:val="none" w:sz="0" w:space="0" w:color="auto"/>
        <w:right w:val="none" w:sz="0" w:space="0" w:color="auto"/>
      </w:divBdr>
    </w:div>
    <w:div w:id="1081293365">
      <w:bodyDiv w:val="1"/>
      <w:marLeft w:val="0"/>
      <w:marRight w:val="0"/>
      <w:marTop w:val="0"/>
      <w:marBottom w:val="0"/>
      <w:divBdr>
        <w:top w:val="none" w:sz="0" w:space="0" w:color="auto"/>
        <w:left w:val="none" w:sz="0" w:space="0" w:color="auto"/>
        <w:bottom w:val="none" w:sz="0" w:space="0" w:color="auto"/>
        <w:right w:val="none" w:sz="0" w:space="0" w:color="auto"/>
      </w:divBdr>
    </w:div>
    <w:div w:id="1351644020">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574969316">
      <w:bodyDiv w:val="1"/>
      <w:marLeft w:val="0"/>
      <w:marRight w:val="0"/>
      <w:marTop w:val="0"/>
      <w:marBottom w:val="0"/>
      <w:divBdr>
        <w:top w:val="none" w:sz="0" w:space="0" w:color="auto"/>
        <w:left w:val="none" w:sz="0" w:space="0" w:color="auto"/>
        <w:bottom w:val="none" w:sz="0" w:space="0" w:color="auto"/>
        <w:right w:val="none" w:sz="0" w:space="0" w:color="auto"/>
      </w:divBdr>
    </w:div>
    <w:div w:id="1679892746">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 w:id="21303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290C-18BC-4A8A-87F6-49046759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2021-05-13T17:56:00Z</cp:lastPrinted>
  <dcterms:created xsi:type="dcterms:W3CDTF">2021-05-13T20:16:00Z</dcterms:created>
  <dcterms:modified xsi:type="dcterms:W3CDTF">2021-05-13T20:16:00Z</dcterms:modified>
</cp:coreProperties>
</file>